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F687" w14:textId="77777777" w:rsidR="00D628CB" w:rsidRPr="003F756D" w:rsidRDefault="00D628CB" w:rsidP="003F27AC">
      <w:pPr>
        <w:spacing w:after="0"/>
        <w:jc w:val="right"/>
      </w:pPr>
      <w:r w:rsidRPr="003F756D">
        <w:rPr>
          <w:noProof/>
        </w:rPr>
        <w:drawing>
          <wp:inline distT="0" distB="0" distL="0" distR="0" wp14:anchorId="020F5029" wp14:editId="2082F2A3">
            <wp:extent cx="814983" cy="457200"/>
            <wp:effectExtent l="0" t="0" r="4445" b="0"/>
            <wp:docPr id="1" name="Picture 1" descr="http://sr.photos3.fotosearch.com/bthumb/UNC/UNC320/u17923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3.fotosearch.com/bthumb/UNC/UNC320/u17923909.jpg"/>
                    <pic:cNvPicPr>
                      <a:picLocks noChangeAspect="1" noChangeArrowheads="1"/>
                    </pic:cNvPicPr>
                  </pic:nvPicPr>
                  <pic:blipFill rotWithShape="1">
                    <a:blip r:embed="rId7">
                      <a:duotone>
                        <a:schemeClr val="accent5">
                          <a:shade val="45000"/>
                          <a:satMod val="135000"/>
                        </a:schemeClr>
                        <a:prstClr val="white"/>
                      </a:duotone>
                      <a:extLst>
                        <a:ext uri="{28A0092B-C50C-407E-A947-70E740481C1C}">
                          <a14:useLocalDpi xmlns:a14="http://schemas.microsoft.com/office/drawing/2010/main" val="0"/>
                        </a:ext>
                      </a:extLst>
                    </a:blip>
                    <a:srcRect b="12162"/>
                    <a:stretch/>
                  </pic:blipFill>
                  <pic:spPr bwMode="auto">
                    <a:xfrm>
                      <a:off x="0" y="0"/>
                      <a:ext cx="821259" cy="460721"/>
                    </a:xfrm>
                    <a:prstGeom prst="rect">
                      <a:avLst/>
                    </a:prstGeom>
                    <a:noFill/>
                    <a:ln>
                      <a:noFill/>
                    </a:ln>
                    <a:extLst>
                      <a:ext uri="{53640926-AAD7-44D8-BBD7-CCE9431645EC}">
                        <a14:shadowObscured xmlns:a14="http://schemas.microsoft.com/office/drawing/2010/main"/>
                      </a:ext>
                    </a:extLst>
                  </pic:spPr>
                </pic:pic>
              </a:graphicData>
            </a:graphic>
          </wp:inline>
        </w:drawing>
      </w:r>
      <w:r w:rsidRPr="003F756D">
        <w:rPr>
          <w:rFonts w:ascii="Calibri" w:hAnsi="Calibri" w:cs="Times New Roman"/>
          <w:b/>
          <w:color w:val="4472C4" w:themeColor="accent5"/>
        </w:rPr>
        <w:t>Lakemoor Community Club</w:t>
      </w:r>
    </w:p>
    <w:p w14:paraId="478B7BF3" w14:textId="77777777" w:rsidR="00D628CB" w:rsidRPr="003F756D" w:rsidRDefault="00D628CB" w:rsidP="00D628CB">
      <w:pPr>
        <w:spacing w:after="0"/>
        <w:jc w:val="right"/>
        <w:rPr>
          <w:rStyle w:val="Hyperlink"/>
          <w:rFonts w:ascii="Calibri" w:hAnsi="Calibri"/>
          <w:b/>
          <w:color w:val="4472C4" w:themeColor="accent5"/>
          <w:sz w:val="20"/>
          <w:szCs w:val="20"/>
        </w:rPr>
      </w:pPr>
      <w:r w:rsidRPr="003F756D">
        <w:rPr>
          <w:rFonts w:ascii="Calibri" w:hAnsi="Calibri" w:cs="Times New Roman"/>
          <w:b/>
          <w:color w:val="4472C4" w:themeColor="accent5"/>
          <w:sz w:val="20"/>
          <w:szCs w:val="20"/>
        </w:rPr>
        <w:t>kenlake.org</w:t>
      </w:r>
    </w:p>
    <w:p w14:paraId="4D1EEA20" w14:textId="77777777" w:rsidR="00D628CB" w:rsidRPr="003F756D" w:rsidRDefault="00D628CB" w:rsidP="00694F6E">
      <w:pPr>
        <w:spacing w:after="0"/>
        <w:rPr>
          <w:rFonts w:cstheme="minorHAnsi"/>
          <w:b/>
          <w:sz w:val="24"/>
          <w:szCs w:val="24"/>
        </w:rPr>
      </w:pPr>
    </w:p>
    <w:p w14:paraId="3608A717" w14:textId="716982A6" w:rsidR="00694F6E" w:rsidRPr="003F756D" w:rsidRDefault="00694F6E" w:rsidP="00694F6E">
      <w:pPr>
        <w:spacing w:after="0"/>
        <w:jc w:val="center"/>
        <w:rPr>
          <w:rFonts w:cstheme="minorHAnsi"/>
          <w:b/>
          <w:sz w:val="26"/>
          <w:szCs w:val="26"/>
        </w:rPr>
      </w:pPr>
      <w:r w:rsidRPr="00211121">
        <w:rPr>
          <w:rFonts w:cstheme="minorHAnsi"/>
          <w:b/>
          <w:sz w:val="26"/>
          <w:szCs w:val="26"/>
        </w:rPr>
        <w:t xml:space="preserve">LCC </w:t>
      </w:r>
      <w:r w:rsidR="001167E8" w:rsidRPr="00211121">
        <w:rPr>
          <w:rFonts w:cstheme="minorHAnsi"/>
          <w:b/>
          <w:sz w:val="26"/>
          <w:szCs w:val="26"/>
        </w:rPr>
        <w:t xml:space="preserve">DELINQUENT </w:t>
      </w:r>
      <w:r w:rsidR="00273561" w:rsidRPr="00211121">
        <w:rPr>
          <w:rFonts w:cstheme="minorHAnsi"/>
          <w:b/>
          <w:sz w:val="26"/>
          <w:szCs w:val="26"/>
        </w:rPr>
        <w:t>FINE AND</w:t>
      </w:r>
      <w:r w:rsidRPr="00211121">
        <w:rPr>
          <w:rFonts w:cstheme="minorHAnsi"/>
          <w:b/>
          <w:sz w:val="26"/>
          <w:szCs w:val="26"/>
        </w:rPr>
        <w:t xml:space="preserve"> </w:t>
      </w:r>
      <w:r w:rsidR="005E3B68" w:rsidRPr="00211121">
        <w:rPr>
          <w:rFonts w:cstheme="minorHAnsi"/>
          <w:b/>
          <w:sz w:val="26"/>
          <w:szCs w:val="26"/>
        </w:rPr>
        <w:t xml:space="preserve">ENFORCEMENT </w:t>
      </w:r>
      <w:r w:rsidRPr="00211121">
        <w:rPr>
          <w:rFonts w:cstheme="minorHAnsi"/>
          <w:b/>
          <w:sz w:val="26"/>
          <w:szCs w:val="26"/>
        </w:rPr>
        <w:t>POLICY</w:t>
      </w:r>
    </w:p>
    <w:p w14:paraId="5AE48C8E" w14:textId="18E11414" w:rsidR="00381239" w:rsidRPr="003F756D" w:rsidRDefault="00381239" w:rsidP="005F0CC7">
      <w:pPr>
        <w:spacing w:after="0"/>
        <w:rPr>
          <w:rFonts w:cstheme="minorHAnsi"/>
          <w:i/>
          <w:color w:val="FF0000"/>
          <w:sz w:val="24"/>
          <w:szCs w:val="24"/>
        </w:rPr>
      </w:pPr>
    </w:p>
    <w:p w14:paraId="04FEF28E" w14:textId="4D04E8E3" w:rsidR="00083565" w:rsidRPr="00211121" w:rsidRDefault="009B7663" w:rsidP="00694F6E">
      <w:pPr>
        <w:spacing w:after="0"/>
        <w:jc w:val="center"/>
        <w:rPr>
          <w:rFonts w:cstheme="minorHAnsi"/>
          <w:b/>
          <w:sz w:val="24"/>
          <w:szCs w:val="24"/>
        </w:rPr>
      </w:pPr>
      <w:r w:rsidRPr="00211121">
        <w:rPr>
          <w:rFonts w:cstheme="minorHAnsi"/>
          <w:b/>
          <w:sz w:val="24"/>
          <w:szCs w:val="24"/>
        </w:rPr>
        <w:t xml:space="preserve">As Amended </w:t>
      </w:r>
      <w:r w:rsidR="005C294C">
        <w:rPr>
          <w:rFonts w:cstheme="minorHAnsi"/>
          <w:b/>
          <w:sz w:val="24"/>
          <w:szCs w:val="24"/>
        </w:rPr>
        <w:t>June</w:t>
      </w:r>
      <w:r w:rsidRPr="00211121">
        <w:rPr>
          <w:rFonts w:cstheme="minorHAnsi"/>
          <w:b/>
          <w:sz w:val="24"/>
          <w:szCs w:val="24"/>
        </w:rPr>
        <w:t xml:space="preserve"> 2021</w:t>
      </w:r>
      <w:r w:rsidR="00D70FFB">
        <w:rPr>
          <w:rFonts w:cstheme="minorHAnsi"/>
          <w:b/>
          <w:sz w:val="24"/>
          <w:szCs w:val="24"/>
        </w:rPr>
        <w:t xml:space="preserve"> (V</w:t>
      </w:r>
      <w:r w:rsidR="00987026">
        <w:rPr>
          <w:rFonts w:cstheme="minorHAnsi"/>
          <w:b/>
          <w:sz w:val="24"/>
          <w:szCs w:val="24"/>
        </w:rPr>
        <w:t>.</w:t>
      </w:r>
      <w:r w:rsidR="00D70FFB">
        <w:rPr>
          <w:rFonts w:cstheme="minorHAnsi"/>
          <w:b/>
          <w:sz w:val="24"/>
          <w:szCs w:val="24"/>
        </w:rPr>
        <w:t xml:space="preserve"> 4.</w:t>
      </w:r>
      <w:r w:rsidR="0036187B">
        <w:rPr>
          <w:rFonts w:cstheme="minorHAnsi"/>
          <w:b/>
          <w:sz w:val="24"/>
          <w:szCs w:val="24"/>
        </w:rPr>
        <w:t>6</w:t>
      </w:r>
      <w:r w:rsidR="00D70FFB">
        <w:rPr>
          <w:rFonts w:cstheme="minorHAnsi"/>
          <w:b/>
          <w:sz w:val="24"/>
          <w:szCs w:val="24"/>
        </w:rPr>
        <w:t>)</w:t>
      </w:r>
    </w:p>
    <w:p w14:paraId="13687B8B" w14:textId="77777777" w:rsidR="00F40F11" w:rsidRPr="00211121" w:rsidRDefault="00F40F11" w:rsidP="00172AAF">
      <w:pPr>
        <w:spacing w:after="0"/>
        <w:jc w:val="center"/>
        <w:rPr>
          <w:rFonts w:cstheme="minorHAnsi"/>
          <w:sz w:val="24"/>
          <w:szCs w:val="24"/>
        </w:rPr>
      </w:pPr>
    </w:p>
    <w:p w14:paraId="4C373B02" w14:textId="2444A6E1" w:rsidR="00380FE7" w:rsidRPr="00211121" w:rsidRDefault="00380FE7" w:rsidP="00172AAF">
      <w:pPr>
        <w:spacing w:after="0"/>
        <w:rPr>
          <w:rFonts w:cstheme="minorHAnsi"/>
        </w:rPr>
      </w:pPr>
      <w:r w:rsidRPr="00211121">
        <w:rPr>
          <w:rFonts w:cstheme="minorHAnsi"/>
        </w:rPr>
        <w:t xml:space="preserve">As </w:t>
      </w:r>
      <w:r w:rsidR="00172AAF" w:rsidRPr="00211121">
        <w:rPr>
          <w:rFonts w:cstheme="minorHAnsi"/>
        </w:rPr>
        <w:t>empowered</w:t>
      </w:r>
      <w:r w:rsidRPr="00211121">
        <w:rPr>
          <w:rFonts w:cstheme="minorHAnsi"/>
        </w:rPr>
        <w:t xml:space="preserve"> by the Revised Code of Washington (RCW) </w:t>
      </w:r>
      <w:hyperlink r:id="rId8" w:history="1">
        <w:r w:rsidRPr="00211121">
          <w:rPr>
            <w:rFonts w:cstheme="minorHAnsi"/>
          </w:rPr>
          <w:t>64.38.020</w:t>
        </w:r>
      </w:hyperlink>
      <w:r w:rsidR="00AD6B17" w:rsidRPr="00211121">
        <w:rPr>
          <w:rFonts w:cstheme="minorHAnsi"/>
        </w:rPr>
        <w:t xml:space="preserve"> </w:t>
      </w:r>
      <w:r w:rsidRPr="00211121">
        <w:rPr>
          <w:rFonts w:cstheme="minorHAnsi"/>
        </w:rPr>
        <w:t xml:space="preserve">under the heading of </w:t>
      </w:r>
      <w:r w:rsidR="001A0154" w:rsidRPr="00211121">
        <w:rPr>
          <w:rFonts w:cstheme="minorHAnsi"/>
        </w:rPr>
        <w:t>“</w:t>
      </w:r>
      <w:r w:rsidRPr="00211121">
        <w:rPr>
          <w:rFonts w:cstheme="minorHAnsi"/>
        </w:rPr>
        <w:t xml:space="preserve">Association </w:t>
      </w:r>
      <w:r w:rsidR="00C3652E" w:rsidRPr="00211121">
        <w:rPr>
          <w:rFonts w:cstheme="minorHAnsi"/>
        </w:rPr>
        <w:t>Powers</w:t>
      </w:r>
      <w:r w:rsidR="001A0154" w:rsidRPr="00211121">
        <w:rPr>
          <w:rFonts w:cstheme="minorHAnsi"/>
        </w:rPr>
        <w:t>”</w:t>
      </w:r>
      <w:r w:rsidR="00C3652E" w:rsidRPr="00211121">
        <w:rPr>
          <w:rFonts w:cstheme="minorHAnsi"/>
        </w:rPr>
        <w:t>,</w:t>
      </w:r>
      <w:r w:rsidRPr="00211121">
        <w:rPr>
          <w:rFonts w:cstheme="minorHAnsi"/>
        </w:rPr>
        <w:t xml:space="preserve"> and by Lakemoor Community Club </w:t>
      </w:r>
      <w:r w:rsidR="00C3652E" w:rsidRPr="00211121">
        <w:rPr>
          <w:rFonts w:cstheme="minorHAnsi"/>
        </w:rPr>
        <w:t>‘s</w:t>
      </w:r>
      <w:r w:rsidR="00FA4BE9" w:rsidRPr="00211121">
        <w:rPr>
          <w:rFonts w:cstheme="minorHAnsi"/>
        </w:rPr>
        <w:t xml:space="preserve"> </w:t>
      </w:r>
      <w:r w:rsidRPr="00211121">
        <w:rPr>
          <w:rFonts w:cstheme="minorHAnsi"/>
        </w:rPr>
        <w:t xml:space="preserve">(LCC) </w:t>
      </w:r>
      <w:r w:rsidR="00FA4BE9" w:rsidRPr="00211121">
        <w:rPr>
          <w:rFonts w:cstheme="minorHAnsi"/>
        </w:rPr>
        <w:t>(</w:t>
      </w:r>
      <w:r w:rsidR="00DD0380" w:rsidRPr="00211121">
        <w:rPr>
          <w:rFonts w:cstheme="minorHAnsi"/>
        </w:rPr>
        <w:t>henceforth</w:t>
      </w:r>
      <w:r w:rsidR="00FA4BE9" w:rsidRPr="00211121">
        <w:rPr>
          <w:rFonts w:cstheme="minorHAnsi"/>
        </w:rPr>
        <w:t xml:space="preserve"> called the “Association”) </w:t>
      </w:r>
      <w:r w:rsidRPr="00211121">
        <w:rPr>
          <w:rFonts w:cstheme="minorHAnsi"/>
        </w:rPr>
        <w:t>governing documents</w:t>
      </w:r>
      <w:r w:rsidR="00381239" w:rsidRPr="00211121">
        <w:rPr>
          <w:rFonts w:cstheme="minorHAnsi"/>
        </w:rPr>
        <w:t xml:space="preserve"> (Modified Protective Covenants, </w:t>
      </w:r>
      <w:r w:rsidR="00273561" w:rsidRPr="00211121">
        <w:rPr>
          <w:rFonts w:cstheme="minorHAnsi"/>
        </w:rPr>
        <w:t>Bylaws, Rules and Regulations, and Collections Policy</w:t>
      </w:r>
      <w:r w:rsidR="00381239" w:rsidRPr="00211121">
        <w:rPr>
          <w:rFonts w:cstheme="minorHAnsi"/>
        </w:rPr>
        <w:t>)</w:t>
      </w:r>
      <w:r w:rsidR="00FA4BE9" w:rsidRPr="00211121">
        <w:rPr>
          <w:rFonts w:cstheme="minorHAnsi"/>
        </w:rPr>
        <w:t>, the Association</w:t>
      </w:r>
      <w:r w:rsidR="00572077" w:rsidRPr="00211121">
        <w:rPr>
          <w:rFonts w:cstheme="minorHAnsi"/>
        </w:rPr>
        <w:t xml:space="preserve"> may</w:t>
      </w:r>
      <w:r w:rsidRPr="00211121">
        <w:rPr>
          <w:rFonts w:cstheme="minorHAnsi"/>
        </w:rPr>
        <w:t xml:space="preserve"> </w:t>
      </w:r>
      <w:r w:rsidR="00C3652E" w:rsidRPr="00211121">
        <w:rPr>
          <w:rFonts w:cstheme="minorHAnsi"/>
        </w:rPr>
        <w:t xml:space="preserve">carry out the following </w:t>
      </w:r>
      <w:r w:rsidR="00D83AA5" w:rsidRPr="00211121">
        <w:rPr>
          <w:rFonts w:cstheme="minorHAnsi"/>
        </w:rPr>
        <w:t>assessments</w:t>
      </w:r>
      <w:r w:rsidR="00663023" w:rsidRPr="00211121">
        <w:rPr>
          <w:rFonts w:cstheme="minorHAnsi"/>
        </w:rPr>
        <w:t xml:space="preserve"> </w:t>
      </w:r>
      <w:r w:rsidR="00273561" w:rsidRPr="00211121">
        <w:rPr>
          <w:rFonts w:cstheme="minorHAnsi"/>
        </w:rPr>
        <w:t>fine and enforcement</w:t>
      </w:r>
      <w:r w:rsidR="00C3652E" w:rsidRPr="00211121">
        <w:rPr>
          <w:rFonts w:cstheme="minorHAnsi"/>
        </w:rPr>
        <w:t xml:space="preserve"> policy:</w:t>
      </w:r>
    </w:p>
    <w:p w14:paraId="38D535D8" w14:textId="77777777" w:rsidR="00194699" w:rsidRPr="00211121" w:rsidRDefault="00194699" w:rsidP="009B7663">
      <w:pPr>
        <w:spacing w:after="0"/>
        <w:rPr>
          <w:rFonts w:cstheme="minorHAnsi"/>
          <w:b/>
        </w:rPr>
      </w:pPr>
    </w:p>
    <w:p w14:paraId="540253EE" w14:textId="521B2551" w:rsidR="00041490" w:rsidRPr="00211121" w:rsidRDefault="00380FE7" w:rsidP="009B7663">
      <w:pPr>
        <w:spacing w:after="0"/>
        <w:rPr>
          <w:rFonts w:cstheme="minorHAnsi"/>
          <w:b/>
        </w:rPr>
      </w:pPr>
      <w:r w:rsidRPr="00211121">
        <w:rPr>
          <w:rFonts w:cstheme="minorHAnsi"/>
          <w:b/>
        </w:rPr>
        <w:t xml:space="preserve">A: </w:t>
      </w:r>
      <w:r w:rsidR="001167E8" w:rsidRPr="00211121">
        <w:rPr>
          <w:rFonts w:cstheme="minorHAnsi"/>
          <w:b/>
        </w:rPr>
        <w:t xml:space="preserve">Delinquent </w:t>
      </w:r>
      <w:r w:rsidR="009B7663" w:rsidRPr="00211121">
        <w:rPr>
          <w:rFonts w:cstheme="minorHAnsi"/>
          <w:b/>
        </w:rPr>
        <w:t>Assessments</w:t>
      </w:r>
    </w:p>
    <w:p w14:paraId="66032E9D" w14:textId="77777777" w:rsidR="009B7663" w:rsidRPr="00211121" w:rsidRDefault="009B7663" w:rsidP="00172AAF">
      <w:pPr>
        <w:spacing w:after="0"/>
      </w:pPr>
    </w:p>
    <w:p w14:paraId="4613E756" w14:textId="3CA4F8FE" w:rsidR="00172AAF" w:rsidRPr="00211121" w:rsidRDefault="002C1CC4" w:rsidP="00694F6E">
      <w:pPr>
        <w:pStyle w:val="ListParagraph"/>
        <w:numPr>
          <w:ilvl w:val="0"/>
          <w:numId w:val="3"/>
        </w:numPr>
        <w:spacing w:after="0" w:line="240" w:lineRule="auto"/>
        <w:ind w:left="270"/>
        <w:rPr>
          <w:rFonts w:cstheme="minorHAnsi"/>
        </w:rPr>
      </w:pPr>
      <w:r w:rsidRPr="00211121">
        <w:rPr>
          <w:rFonts w:cstheme="minorHAnsi"/>
        </w:rPr>
        <w:t xml:space="preserve">LCC </w:t>
      </w:r>
      <w:r w:rsidR="00DD0380" w:rsidRPr="00211121">
        <w:rPr>
          <w:rFonts w:cstheme="minorHAnsi"/>
        </w:rPr>
        <w:t>home</w:t>
      </w:r>
      <w:r w:rsidRPr="00211121">
        <w:rPr>
          <w:rFonts w:cstheme="minorHAnsi"/>
        </w:rPr>
        <w:t>owners (</w:t>
      </w:r>
      <w:r w:rsidR="00DD0380" w:rsidRPr="00211121">
        <w:rPr>
          <w:rFonts w:cstheme="minorHAnsi"/>
        </w:rPr>
        <w:t>henceforth</w:t>
      </w:r>
      <w:r w:rsidRPr="00211121">
        <w:rPr>
          <w:rFonts w:cstheme="minorHAnsi"/>
        </w:rPr>
        <w:t xml:space="preserve"> called</w:t>
      </w:r>
      <w:r w:rsidR="00E46BC3" w:rsidRPr="00211121">
        <w:rPr>
          <w:rFonts w:cstheme="minorHAnsi"/>
        </w:rPr>
        <w:t xml:space="preserve"> “M</w:t>
      </w:r>
      <w:r w:rsidRPr="00211121">
        <w:rPr>
          <w:rFonts w:cstheme="minorHAnsi"/>
        </w:rPr>
        <w:t>embers”) delinquent with association</w:t>
      </w:r>
      <w:r w:rsidR="009B7663" w:rsidRPr="00211121">
        <w:rPr>
          <w:rFonts w:cstheme="minorHAnsi"/>
        </w:rPr>
        <w:t xml:space="preserve"> assessments of </w:t>
      </w:r>
      <w:r w:rsidR="009433E4" w:rsidRPr="00211121">
        <w:rPr>
          <w:rFonts w:cstheme="minorHAnsi"/>
        </w:rPr>
        <w:t>two quarterly payments (six</w:t>
      </w:r>
      <w:r w:rsidR="00117EE0" w:rsidRPr="00211121">
        <w:rPr>
          <w:rFonts w:cstheme="minorHAnsi"/>
        </w:rPr>
        <w:t xml:space="preserve"> months</w:t>
      </w:r>
      <w:r w:rsidR="009433E4" w:rsidRPr="00211121">
        <w:rPr>
          <w:rFonts w:cstheme="minorHAnsi"/>
        </w:rPr>
        <w:t>)</w:t>
      </w:r>
      <w:r w:rsidR="00935092" w:rsidRPr="00211121">
        <w:rPr>
          <w:rFonts w:cstheme="minorHAnsi"/>
        </w:rPr>
        <w:t xml:space="preserve"> or </w:t>
      </w:r>
      <w:r w:rsidR="009433E4" w:rsidRPr="00211121">
        <w:rPr>
          <w:rFonts w:cstheme="minorHAnsi"/>
        </w:rPr>
        <w:t>more</w:t>
      </w:r>
      <w:r w:rsidR="00935092" w:rsidRPr="00211121">
        <w:rPr>
          <w:rFonts w:cstheme="minorHAnsi"/>
        </w:rPr>
        <w:t xml:space="preserve"> </w:t>
      </w:r>
      <w:r w:rsidR="009B7663" w:rsidRPr="00211121">
        <w:rPr>
          <w:rFonts w:cstheme="minorHAnsi"/>
        </w:rPr>
        <w:t xml:space="preserve">may be subject to </w:t>
      </w:r>
      <w:r w:rsidR="009433E4" w:rsidRPr="00211121">
        <w:rPr>
          <w:rFonts w:cstheme="minorHAnsi"/>
        </w:rPr>
        <w:t>legal action</w:t>
      </w:r>
      <w:r w:rsidR="008418F9">
        <w:rPr>
          <w:rFonts w:cstheme="minorHAnsi"/>
        </w:rPr>
        <w:t xml:space="preserve"> and </w:t>
      </w:r>
      <w:r w:rsidR="00487002">
        <w:rPr>
          <w:rFonts w:cstheme="minorHAnsi"/>
        </w:rPr>
        <w:t>suspension</w:t>
      </w:r>
      <w:r w:rsidR="008418F9">
        <w:rPr>
          <w:rFonts w:cstheme="minorHAnsi"/>
        </w:rPr>
        <w:t xml:space="preserve"> of community privileges</w:t>
      </w:r>
      <w:r w:rsidR="00487002">
        <w:rPr>
          <w:rFonts w:cstheme="minorHAnsi"/>
        </w:rPr>
        <w:t xml:space="preserve"> until the account is brought current</w:t>
      </w:r>
    </w:p>
    <w:p w14:paraId="29024E0B" w14:textId="77777777" w:rsidR="00004F8A" w:rsidRPr="00211121" w:rsidRDefault="00004F8A" w:rsidP="00172AAF">
      <w:pPr>
        <w:spacing w:after="0" w:line="240" w:lineRule="auto"/>
        <w:ind w:left="-90"/>
        <w:rPr>
          <w:rFonts w:cstheme="minorHAnsi"/>
        </w:rPr>
      </w:pPr>
    </w:p>
    <w:p w14:paraId="77F7066C" w14:textId="049E9D25" w:rsidR="00C12C4B" w:rsidRPr="00211121" w:rsidRDefault="002772E7" w:rsidP="00694F6E">
      <w:pPr>
        <w:pStyle w:val="ListParagraph"/>
        <w:numPr>
          <w:ilvl w:val="0"/>
          <w:numId w:val="3"/>
        </w:numPr>
        <w:spacing w:after="0" w:line="240" w:lineRule="auto"/>
        <w:ind w:left="270"/>
        <w:rPr>
          <w:rFonts w:cstheme="minorHAnsi"/>
        </w:rPr>
      </w:pPr>
      <w:r w:rsidRPr="00211121">
        <w:rPr>
          <w:rFonts w:cstheme="minorHAnsi"/>
        </w:rPr>
        <w:t>In addition to</w:t>
      </w:r>
      <w:r w:rsidR="009B7663" w:rsidRPr="00211121">
        <w:rPr>
          <w:rFonts w:cstheme="minorHAnsi"/>
        </w:rPr>
        <w:t xml:space="preserve"> payment of delinquent assessments, </w:t>
      </w:r>
      <w:r w:rsidR="00E46BC3" w:rsidRPr="00211121">
        <w:rPr>
          <w:rFonts w:cstheme="minorHAnsi"/>
        </w:rPr>
        <w:t>Member</w:t>
      </w:r>
      <w:r w:rsidR="002C1CC4" w:rsidRPr="00211121">
        <w:rPr>
          <w:rFonts w:cstheme="minorHAnsi"/>
        </w:rPr>
        <w:t>s</w:t>
      </w:r>
      <w:r w:rsidR="00116290" w:rsidRPr="00211121">
        <w:rPr>
          <w:rFonts w:cstheme="minorHAnsi"/>
        </w:rPr>
        <w:t xml:space="preserve"> </w:t>
      </w:r>
      <w:r w:rsidR="00B058B6" w:rsidRPr="00211121">
        <w:rPr>
          <w:rFonts w:cstheme="minorHAnsi"/>
        </w:rPr>
        <w:t xml:space="preserve">in delinquency </w:t>
      </w:r>
      <w:r w:rsidR="009B7663" w:rsidRPr="00211121">
        <w:rPr>
          <w:rFonts w:cstheme="minorHAnsi"/>
        </w:rPr>
        <w:t>shall be responsible for any processing fees, penalties,</w:t>
      </w:r>
      <w:r w:rsidR="002C1CC4" w:rsidRPr="00211121">
        <w:rPr>
          <w:rFonts w:cstheme="minorHAnsi"/>
        </w:rPr>
        <w:t xml:space="preserve"> interest</w:t>
      </w:r>
      <w:r w:rsidR="00C3652E" w:rsidRPr="00211121">
        <w:rPr>
          <w:rFonts w:cstheme="minorHAnsi"/>
        </w:rPr>
        <w:t>,</w:t>
      </w:r>
      <w:r w:rsidR="009B7663" w:rsidRPr="00211121">
        <w:rPr>
          <w:rFonts w:cstheme="minorHAnsi"/>
        </w:rPr>
        <w:t xml:space="preserve"> and legal costs incurred by </w:t>
      </w:r>
      <w:r w:rsidR="00572077" w:rsidRPr="00211121">
        <w:rPr>
          <w:rFonts w:cstheme="minorHAnsi"/>
        </w:rPr>
        <w:t>the Association.</w:t>
      </w:r>
    </w:p>
    <w:p w14:paraId="13FBDC43" w14:textId="77777777" w:rsidR="00572077" w:rsidRPr="00211121" w:rsidRDefault="00572077" w:rsidP="00572077">
      <w:pPr>
        <w:spacing w:after="0" w:line="240" w:lineRule="auto"/>
        <w:ind w:left="-90"/>
        <w:rPr>
          <w:rFonts w:cstheme="minorHAnsi"/>
          <w:b/>
        </w:rPr>
      </w:pPr>
    </w:p>
    <w:p w14:paraId="31C4E7E9" w14:textId="7EC0C207" w:rsidR="00694F6E" w:rsidRPr="00211121" w:rsidRDefault="00380FE7" w:rsidP="00694F6E">
      <w:pPr>
        <w:spacing w:after="0"/>
        <w:rPr>
          <w:rFonts w:cstheme="minorHAnsi"/>
          <w:b/>
        </w:rPr>
      </w:pPr>
      <w:r w:rsidRPr="00211121">
        <w:rPr>
          <w:rFonts w:cstheme="minorHAnsi"/>
          <w:b/>
        </w:rPr>
        <w:t xml:space="preserve">B: </w:t>
      </w:r>
      <w:r w:rsidR="00694F6E" w:rsidRPr="00211121">
        <w:rPr>
          <w:rFonts w:cstheme="minorHAnsi"/>
          <w:b/>
        </w:rPr>
        <w:t>General Violations</w:t>
      </w:r>
    </w:p>
    <w:p w14:paraId="0DCBF5D8" w14:textId="77777777" w:rsidR="00B36D62" w:rsidRPr="00211121" w:rsidRDefault="00B36D62" w:rsidP="00694F6E">
      <w:pPr>
        <w:spacing w:after="0"/>
        <w:rPr>
          <w:rFonts w:cstheme="minorHAnsi"/>
          <w:b/>
        </w:rPr>
      </w:pPr>
    </w:p>
    <w:p w14:paraId="1D8CA0EE" w14:textId="66A3AC39" w:rsidR="002D21BF" w:rsidRPr="00211121" w:rsidRDefault="002D21BF" w:rsidP="00616010">
      <w:pPr>
        <w:pStyle w:val="ListParagraph"/>
        <w:numPr>
          <w:ilvl w:val="0"/>
          <w:numId w:val="10"/>
        </w:numPr>
        <w:spacing w:after="0" w:line="240" w:lineRule="auto"/>
        <w:ind w:left="270"/>
        <w:rPr>
          <w:rFonts w:cstheme="minorHAnsi"/>
        </w:rPr>
      </w:pPr>
      <w:r w:rsidRPr="00211121">
        <w:rPr>
          <w:rFonts w:cstheme="minorHAnsi"/>
        </w:rPr>
        <w:t>Any</w:t>
      </w:r>
      <w:r w:rsidRPr="003F756D">
        <w:t xml:space="preserve"> </w:t>
      </w:r>
      <w:r w:rsidRPr="00211121">
        <w:rPr>
          <w:rFonts w:cstheme="minorHAnsi"/>
        </w:rPr>
        <w:t xml:space="preserve">violation by </w:t>
      </w:r>
      <w:r w:rsidR="005C294C" w:rsidRPr="00211121">
        <w:rPr>
          <w:rFonts w:cstheme="minorHAnsi"/>
        </w:rPr>
        <w:t>a</w:t>
      </w:r>
      <w:r w:rsidRPr="00211121">
        <w:rPr>
          <w:rFonts w:cstheme="minorHAnsi"/>
        </w:rPr>
        <w:t xml:space="preserve"> </w:t>
      </w:r>
      <w:r w:rsidR="008418F9">
        <w:rPr>
          <w:rFonts w:cstheme="minorHAnsi"/>
        </w:rPr>
        <w:t>member</w:t>
      </w:r>
      <w:r w:rsidRPr="00211121">
        <w:rPr>
          <w:rFonts w:cstheme="minorHAnsi"/>
        </w:rPr>
        <w:t xml:space="preserve">, animals, guests, tenants, invitees or other occupants of a lot shall be treated as a violation by the </w:t>
      </w:r>
      <w:r w:rsidR="008418F9">
        <w:rPr>
          <w:rFonts w:cstheme="minorHAnsi"/>
        </w:rPr>
        <w:t>member</w:t>
      </w:r>
      <w:r w:rsidRPr="00211121">
        <w:rPr>
          <w:rFonts w:cstheme="minorHAnsi"/>
        </w:rPr>
        <w:t xml:space="preserve"> and any fine or common expense resulting from that violation shall be assessed against the lot.</w:t>
      </w:r>
    </w:p>
    <w:p w14:paraId="59645B88" w14:textId="77777777" w:rsidR="002D21BF" w:rsidRPr="00211121" w:rsidRDefault="002D21BF" w:rsidP="003F756D">
      <w:pPr>
        <w:pStyle w:val="ListParagraph"/>
        <w:spacing w:after="0" w:line="240" w:lineRule="auto"/>
        <w:ind w:left="270"/>
        <w:rPr>
          <w:rFonts w:cstheme="minorHAnsi"/>
        </w:rPr>
      </w:pPr>
    </w:p>
    <w:p w14:paraId="6F96A2E6" w14:textId="6317202C" w:rsidR="00616010" w:rsidRPr="00211121" w:rsidRDefault="00616010" w:rsidP="00616010">
      <w:pPr>
        <w:pStyle w:val="ListParagraph"/>
        <w:numPr>
          <w:ilvl w:val="0"/>
          <w:numId w:val="10"/>
        </w:numPr>
        <w:spacing w:after="0" w:line="240" w:lineRule="auto"/>
        <w:ind w:left="270"/>
        <w:rPr>
          <w:rFonts w:cstheme="minorHAnsi"/>
        </w:rPr>
      </w:pPr>
      <w:r w:rsidRPr="00211121">
        <w:rPr>
          <w:rFonts w:cstheme="minorHAnsi"/>
        </w:rPr>
        <w:t xml:space="preserve">A violation not </w:t>
      </w:r>
      <w:r w:rsidR="002772E7" w:rsidRPr="00211121">
        <w:rPr>
          <w:rFonts w:cstheme="minorHAnsi"/>
        </w:rPr>
        <w:t xml:space="preserve">corrected </w:t>
      </w:r>
      <w:r w:rsidR="00657BB1" w:rsidRPr="00211121">
        <w:rPr>
          <w:rFonts w:cstheme="minorHAnsi"/>
        </w:rPr>
        <w:t xml:space="preserve">within two weeks of a violation </w:t>
      </w:r>
      <w:r w:rsidRPr="00211121">
        <w:rPr>
          <w:rFonts w:cstheme="minorHAnsi"/>
        </w:rPr>
        <w:t xml:space="preserve">notice </w:t>
      </w:r>
      <w:r w:rsidR="00273561" w:rsidRPr="00211121">
        <w:rPr>
          <w:rFonts w:cstheme="minorHAnsi"/>
        </w:rPr>
        <w:t xml:space="preserve">shall </w:t>
      </w:r>
      <w:r w:rsidRPr="00211121">
        <w:rPr>
          <w:rFonts w:cstheme="minorHAnsi"/>
        </w:rPr>
        <w:t>be subject to a fine.</w:t>
      </w:r>
      <w:r w:rsidR="002D21BF" w:rsidRPr="00211121">
        <w:rPr>
          <w:rFonts w:cstheme="minorHAnsi"/>
        </w:rPr>
        <w:t xml:space="preserve"> Any fine notice shall set forth the right for </w:t>
      </w:r>
      <w:r w:rsidR="005C294C" w:rsidRPr="00211121">
        <w:rPr>
          <w:rFonts w:cstheme="minorHAnsi"/>
        </w:rPr>
        <w:t>a</w:t>
      </w:r>
      <w:r w:rsidR="002D21BF" w:rsidRPr="00211121">
        <w:rPr>
          <w:rFonts w:cstheme="minorHAnsi"/>
        </w:rPr>
        <w:t xml:space="preserve"> </w:t>
      </w:r>
      <w:r w:rsidR="008418F9">
        <w:rPr>
          <w:rFonts w:cstheme="minorHAnsi"/>
        </w:rPr>
        <w:t>member</w:t>
      </w:r>
      <w:r w:rsidR="002D21BF" w:rsidRPr="00211121">
        <w:rPr>
          <w:rFonts w:cstheme="minorHAnsi"/>
        </w:rPr>
        <w:t xml:space="preserve"> to request a hearing with the board or the Association’s management company.</w:t>
      </w:r>
    </w:p>
    <w:p w14:paraId="3505F2D9" w14:textId="77777777" w:rsidR="00616010" w:rsidRPr="00211121" w:rsidRDefault="00616010" w:rsidP="00616010">
      <w:pPr>
        <w:spacing w:after="0" w:line="240" w:lineRule="auto"/>
        <w:ind w:left="360"/>
        <w:rPr>
          <w:rFonts w:cstheme="minorHAnsi"/>
        </w:rPr>
      </w:pPr>
    </w:p>
    <w:p w14:paraId="5E3D13A4" w14:textId="70007CF9" w:rsidR="00694F6E"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t xml:space="preserve">All violations of covenants and accompanying rules and regulations, with the exception of architectural and unreported tree removal violations, shall be assessed </w:t>
      </w:r>
      <w:r w:rsidR="002772E7" w:rsidRPr="00211121">
        <w:rPr>
          <w:rFonts w:cstheme="minorHAnsi"/>
        </w:rPr>
        <w:t xml:space="preserve">an initial </w:t>
      </w:r>
      <w:r w:rsidRPr="00211121">
        <w:rPr>
          <w:rFonts w:cstheme="minorHAnsi"/>
        </w:rPr>
        <w:t>fine of $50 per occurrence</w:t>
      </w:r>
      <w:r w:rsidR="0009310A" w:rsidRPr="00211121">
        <w:rPr>
          <w:rFonts w:cstheme="minorHAnsi"/>
        </w:rPr>
        <w:t xml:space="preserve"> plus processing fees levied by the Association’s management company.</w:t>
      </w:r>
    </w:p>
    <w:p w14:paraId="68275218" w14:textId="77777777" w:rsidR="00694F6E" w:rsidRPr="00211121" w:rsidRDefault="00694F6E" w:rsidP="00694F6E">
      <w:pPr>
        <w:spacing w:after="0"/>
        <w:ind w:left="-90"/>
        <w:rPr>
          <w:rFonts w:cstheme="minorHAnsi"/>
        </w:rPr>
      </w:pPr>
    </w:p>
    <w:p w14:paraId="13F5AB6A" w14:textId="77777777" w:rsidR="00172AAF"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t xml:space="preserve">A second </w:t>
      </w:r>
      <w:r w:rsidR="002772E7" w:rsidRPr="00211121">
        <w:rPr>
          <w:rFonts w:cstheme="minorHAnsi"/>
        </w:rPr>
        <w:t xml:space="preserve">notice </w:t>
      </w:r>
      <w:r w:rsidRPr="00211121">
        <w:rPr>
          <w:rFonts w:cstheme="minorHAnsi"/>
        </w:rPr>
        <w:t xml:space="preserve">for </w:t>
      </w:r>
      <w:r w:rsidR="002772E7" w:rsidRPr="00211121">
        <w:rPr>
          <w:rFonts w:cstheme="minorHAnsi"/>
        </w:rPr>
        <w:t>an uncorrected</w:t>
      </w:r>
      <w:r w:rsidRPr="00211121">
        <w:rPr>
          <w:rFonts w:cstheme="minorHAnsi"/>
        </w:rPr>
        <w:t xml:space="preserve"> violation will </w:t>
      </w:r>
      <w:r w:rsidR="002772E7" w:rsidRPr="00211121">
        <w:rPr>
          <w:rFonts w:cstheme="minorHAnsi"/>
        </w:rPr>
        <w:t xml:space="preserve">be subject to </w:t>
      </w:r>
      <w:r w:rsidRPr="00211121">
        <w:rPr>
          <w:rFonts w:cstheme="minorHAnsi"/>
        </w:rPr>
        <w:t xml:space="preserve">a penalty of $75 plus processing fees.  </w:t>
      </w:r>
    </w:p>
    <w:p w14:paraId="533F546F" w14:textId="77777777" w:rsidR="00172AAF" w:rsidRPr="00211121" w:rsidRDefault="00172AAF" w:rsidP="00172AAF">
      <w:pPr>
        <w:pStyle w:val="ListParagraph"/>
        <w:rPr>
          <w:rFonts w:cstheme="minorHAnsi"/>
        </w:rPr>
      </w:pPr>
    </w:p>
    <w:p w14:paraId="619DC83B" w14:textId="77777777" w:rsidR="00172AAF"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t xml:space="preserve">A third fine for the same violation will be $100 plus processing fees. </w:t>
      </w:r>
    </w:p>
    <w:p w14:paraId="06CDE151" w14:textId="77777777" w:rsidR="00172AAF" w:rsidRPr="00211121" w:rsidRDefault="00172AAF" w:rsidP="00172AAF">
      <w:pPr>
        <w:pStyle w:val="ListParagraph"/>
        <w:rPr>
          <w:rFonts w:cstheme="minorHAnsi"/>
        </w:rPr>
      </w:pPr>
    </w:p>
    <w:p w14:paraId="437688C1" w14:textId="327FF2C8" w:rsidR="00A1479E"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t>Subsequent fines will be assessed at $100 per month</w:t>
      </w:r>
      <w:r w:rsidR="002772E7" w:rsidRPr="00211121">
        <w:rPr>
          <w:rFonts w:cstheme="minorHAnsi"/>
        </w:rPr>
        <w:t xml:space="preserve"> plus processing fees</w:t>
      </w:r>
      <w:r w:rsidRPr="00211121">
        <w:rPr>
          <w:rFonts w:cstheme="minorHAnsi"/>
        </w:rPr>
        <w:t xml:space="preserve"> until </w:t>
      </w:r>
      <w:r w:rsidR="002772E7" w:rsidRPr="00211121">
        <w:rPr>
          <w:rFonts w:cstheme="minorHAnsi"/>
        </w:rPr>
        <w:t>the violation is corrected</w:t>
      </w:r>
      <w:r w:rsidR="003F27AC" w:rsidRPr="00211121">
        <w:rPr>
          <w:rFonts w:cstheme="minorHAnsi"/>
        </w:rPr>
        <w:t xml:space="preserve">, </w:t>
      </w:r>
      <w:r w:rsidR="00B20716" w:rsidRPr="00211121">
        <w:rPr>
          <w:rFonts w:cstheme="minorHAnsi"/>
        </w:rPr>
        <w:t>or</w:t>
      </w:r>
      <w:r w:rsidR="00A1479E" w:rsidRPr="00211121">
        <w:rPr>
          <w:rFonts w:cstheme="minorHAnsi"/>
        </w:rPr>
        <w:t xml:space="preserve"> until further action is undertaken by the Association</w:t>
      </w:r>
      <w:r w:rsidRPr="00211121">
        <w:rPr>
          <w:rFonts w:cstheme="minorHAnsi"/>
        </w:rPr>
        <w:t xml:space="preserve">. </w:t>
      </w:r>
      <w:r w:rsidR="002D21BF" w:rsidRPr="00211121">
        <w:rPr>
          <w:rFonts w:cstheme="minorHAnsi"/>
        </w:rPr>
        <w:t>The same type of violation occurr</w:t>
      </w:r>
      <w:r w:rsidR="009B6F43">
        <w:rPr>
          <w:rFonts w:cstheme="minorHAnsi"/>
        </w:rPr>
        <w:t>ing within a 12-month period sha</w:t>
      </w:r>
      <w:r w:rsidR="002D21BF" w:rsidRPr="00211121">
        <w:rPr>
          <w:rFonts w:cstheme="minorHAnsi"/>
        </w:rPr>
        <w:t>ll be deemed an ongoing violation subject to the next fine amount set forth in this policy.</w:t>
      </w:r>
    </w:p>
    <w:p w14:paraId="1D03D31C" w14:textId="77777777" w:rsidR="00A1479E" w:rsidRPr="00211121" w:rsidRDefault="00A1479E" w:rsidP="00616010">
      <w:pPr>
        <w:spacing w:after="0" w:line="240" w:lineRule="auto"/>
        <w:ind w:left="-90"/>
        <w:rPr>
          <w:rFonts w:cstheme="minorHAnsi"/>
        </w:rPr>
      </w:pPr>
    </w:p>
    <w:p w14:paraId="4AD8C367" w14:textId="0DEFE4C7" w:rsidR="00694F6E"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t xml:space="preserve">Non-compliant recreational vehicle and watercraft violations </w:t>
      </w:r>
      <w:r w:rsidR="005F00F6" w:rsidRPr="00211121">
        <w:rPr>
          <w:rFonts w:cstheme="minorHAnsi"/>
        </w:rPr>
        <w:t xml:space="preserve">may </w:t>
      </w:r>
      <w:r w:rsidRPr="00211121">
        <w:rPr>
          <w:rFonts w:cstheme="minorHAnsi"/>
        </w:rPr>
        <w:t xml:space="preserve">be assessed </w:t>
      </w:r>
      <w:r w:rsidR="005F00F6" w:rsidRPr="00211121">
        <w:rPr>
          <w:rFonts w:cstheme="minorHAnsi"/>
        </w:rPr>
        <w:t xml:space="preserve">up to </w:t>
      </w:r>
      <w:r w:rsidRPr="00211121">
        <w:rPr>
          <w:rFonts w:cstheme="minorHAnsi"/>
        </w:rPr>
        <w:t>$200 per month.</w:t>
      </w:r>
    </w:p>
    <w:p w14:paraId="78CD329C" w14:textId="77777777" w:rsidR="00694F6E" w:rsidRPr="00211121" w:rsidRDefault="00694F6E" w:rsidP="00616010">
      <w:pPr>
        <w:spacing w:after="0" w:line="240" w:lineRule="auto"/>
        <w:ind w:left="-90"/>
        <w:rPr>
          <w:rFonts w:cstheme="minorHAnsi"/>
        </w:rPr>
      </w:pPr>
    </w:p>
    <w:p w14:paraId="731B95F6" w14:textId="4F23A2C8" w:rsidR="00694F6E" w:rsidRPr="00211121" w:rsidRDefault="00694F6E" w:rsidP="00616010">
      <w:pPr>
        <w:pStyle w:val="ListParagraph"/>
        <w:numPr>
          <w:ilvl w:val="0"/>
          <w:numId w:val="10"/>
        </w:numPr>
        <w:spacing w:after="0" w:line="240" w:lineRule="auto"/>
        <w:ind w:left="270"/>
        <w:rPr>
          <w:rFonts w:cstheme="minorHAnsi"/>
        </w:rPr>
      </w:pPr>
      <w:r w:rsidRPr="00211121">
        <w:rPr>
          <w:rFonts w:cstheme="minorHAnsi"/>
        </w:rPr>
        <w:lastRenderedPageBreak/>
        <w:t>Each auto, recreational vehicle and watercraft violation</w:t>
      </w:r>
      <w:r w:rsidR="00807CBE" w:rsidRPr="00211121">
        <w:rPr>
          <w:rFonts w:cstheme="minorHAnsi"/>
        </w:rPr>
        <w:t xml:space="preserve"> - if not corrected - </w:t>
      </w:r>
      <w:r w:rsidRPr="00211121">
        <w:rPr>
          <w:rFonts w:cstheme="minorHAnsi"/>
        </w:rPr>
        <w:t xml:space="preserve">will receive a </w:t>
      </w:r>
      <w:r w:rsidR="00D83AA5" w:rsidRPr="00211121">
        <w:rPr>
          <w:rFonts w:cstheme="minorHAnsi"/>
        </w:rPr>
        <w:t xml:space="preserve">violation </w:t>
      </w:r>
      <w:r w:rsidR="002772E7" w:rsidRPr="00211121">
        <w:rPr>
          <w:rFonts w:cstheme="minorHAnsi"/>
        </w:rPr>
        <w:t xml:space="preserve">notice </w:t>
      </w:r>
      <w:r w:rsidR="00D83AA5" w:rsidRPr="00211121">
        <w:rPr>
          <w:rFonts w:cstheme="minorHAnsi"/>
        </w:rPr>
        <w:t xml:space="preserve">or </w:t>
      </w:r>
      <w:r w:rsidRPr="00211121">
        <w:rPr>
          <w:rFonts w:cstheme="minorHAnsi"/>
        </w:rPr>
        <w:t>fine per vehicle in violation.</w:t>
      </w:r>
    </w:p>
    <w:p w14:paraId="24548270" w14:textId="77777777" w:rsidR="002D21BF" w:rsidRPr="00211121" w:rsidRDefault="002D21BF" w:rsidP="00211121">
      <w:pPr>
        <w:pStyle w:val="ListParagraph"/>
        <w:rPr>
          <w:rFonts w:cstheme="minorHAnsi"/>
        </w:rPr>
      </w:pPr>
    </w:p>
    <w:p w14:paraId="2528ABD3" w14:textId="40B8A0F6" w:rsidR="002D21BF" w:rsidRPr="00211121" w:rsidRDefault="00BE54CB" w:rsidP="00616010">
      <w:pPr>
        <w:pStyle w:val="ListParagraph"/>
        <w:numPr>
          <w:ilvl w:val="0"/>
          <w:numId w:val="10"/>
        </w:numPr>
        <w:spacing w:after="0" w:line="240" w:lineRule="auto"/>
        <w:ind w:left="270"/>
        <w:rPr>
          <w:rFonts w:cstheme="minorHAnsi"/>
        </w:rPr>
      </w:pPr>
      <w:r w:rsidRPr="00211121">
        <w:rPr>
          <w:rFonts w:cstheme="minorHAnsi"/>
        </w:rPr>
        <w:t>A</w:t>
      </w:r>
      <w:r w:rsidR="002D21BF" w:rsidRPr="00211121">
        <w:rPr>
          <w:rFonts w:cstheme="minorHAnsi"/>
        </w:rPr>
        <w:t xml:space="preserve"> </w:t>
      </w:r>
      <w:r w:rsidR="008418F9">
        <w:rPr>
          <w:rFonts w:cstheme="minorHAnsi"/>
        </w:rPr>
        <w:t>member</w:t>
      </w:r>
      <w:r w:rsidR="002D21BF" w:rsidRPr="00211121">
        <w:rPr>
          <w:rFonts w:cstheme="minorHAnsi"/>
        </w:rPr>
        <w:t>’s failure to resolve a violation within a reasonable time set forth in any notice shall be deemed an ongoing violation subject to the next fine amount set forth in this policy. When reasonable, the Association will make efforts to re</w:t>
      </w:r>
      <w:r w:rsidR="00D807DD">
        <w:rPr>
          <w:rFonts w:cstheme="minorHAnsi"/>
        </w:rPr>
        <w:t>-</w:t>
      </w:r>
      <w:r w:rsidR="002D21BF" w:rsidRPr="00211121">
        <w:rPr>
          <w:rFonts w:cstheme="minorHAnsi"/>
        </w:rPr>
        <w:t>inspect the property before levying an additional violation. The Association shall further have the discretion to levy additional violations without re</w:t>
      </w:r>
      <w:r w:rsidR="00D807DD">
        <w:rPr>
          <w:rFonts w:cstheme="minorHAnsi"/>
        </w:rPr>
        <w:t>-</w:t>
      </w:r>
      <w:r w:rsidR="002D21BF" w:rsidRPr="00211121">
        <w:rPr>
          <w:rFonts w:cstheme="minorHAnsi"/>
        </w:rPr>
        <w:t>inspecting any longstanding, unresolved violations.</w:t>
      </w:r>
    </w:p>
    <w:p w14:paraId="5B80C307" w14:textId="77777777" w:rsidR="009B7663" w:rsidRPr="00211121" w:rsidRDefault="009B7663" w:rsidP="009B7663">
      <w:pPr>
        <w:pStyle w:val="ListParagraph"/>
        <w:rPr>
          <w:rFonts w:cstheme="minorHAnsi"/>
        </w:rPr>
      </w:pPr>
    </w:p>
    <w:p w14:paraId="2368324B" w14:textId="14677EB2" w:rsidR="009B7663" w:rsidRPr="00211121" w:rsidRDefault="002C1CC4" w:rsidP="00616010">
      <w:pPr>
        <w:pStyle w:val="ListParagraph"/>
        <w:numPr>
          <w:ilvl w:val="0"/>
          <w:numId w:val="10"/>
        </w:numPr>
        <w:spacing w:after="0" w:line="240" w:lineRule="auto"/>
        <w:ind w:left="270"/>
        <w:rPr>
          <w:rFonts w:cstheme="minorHAnsi"/>
        </w:rPr>
      </w:pPr>
      <w:r w:rsidRPr="00211121">
        <w:rPr>
          <w:rFonts w:cstheme="minorHAnsi"/>
        </w:rPr>
        <w:t>Members</w:t>
      </w:r>
      <w:r w:rsidR="009B7663" w:rsidRPr="00211121">
        <w:rPr>
          <w:rFonts w:cstheme="minorHAnsi"/>
        </w:rPr>
        <w:t xml:space="preserve"> </w:t>
      </w:r>
      <w:r w:rsidR="0009310A" w:rsidRPr="00211121">
        <w:rPr>
          <w:rFonts w:cstheme="minorHAnsi"/>
        </w:rPr>
        <w:t xml:space="preserve">who have received </w:t>
      </w:r>
      <w:r w:rsidR="009B7663" w:rsidRPr="00211121">
        <w:rPr>
          <w:rFonts w:cstheme="minorHAnsi"/>
        </w:rPr>
        <w:t xml:space="preserve">four or more notices </w:t>
      </w:r>
      <w:r w:rsidR="0009310A" w:rsidRPr="00211121">
        <w:rPr>
          <w:rFonts w:cstheme="minorHAnsi"/>
        </w:rPr>
        <w:t xml:space="preserve">and/or </w:t>
      </w:r>
      <w:r w:rsidR="009B7663" w:rsidRPr="00211121">
        <w:rPr>
          <w:rFonts w:cstheme="minorHAnsi"/>
        </w:rPr>
        <w:t>fines</w:t>
      </w:r>
      <w:r w:rsidR="0009310A" w:rsidRPr="00211121">
        <w:rPr>
          <w:rFonts w:cstheme="minorHAnsi"/>
        </w:rPr>
        <w:t xml:space="preserve"> </w:t>
      </w:r>
      <w:r w:rsidRPr="00211121">
        <w:rPr>
          <w:rFonts w:cstheme="minorHAnsi"/>
        </w:rPr>
        <w:t>for the same offense</w:t>
      </w:r>
      <w:r w:rsidR="009B7663" w:rsidRPr="00211121">
        <w:rPr>
          <w:rFonts w:cstheme="minorHAnsi"/>
        </w:rPr>
        <w:t xml:space="preserve"> are subject to legal action. Violators will be responsible for any processing fees, penalties, </w:t>
      </w:r>
      <w:r w:rsidRPr="00211121">
        <w:rPr>
          <w:rFonts w:cstheme="minorHAnsi"/>
        </w:rPr>
        <w:t xml:space="preserve">interest </w:t>
      </w:r>
      <w:r w:rsidR="009B7663" w:rsidRPr="00211121">
        <w:rPr>
          <w:rFonts w:cstheme="minorHAnsi"/>
        </w:rPr>
        <w:t xml:space="preserve">and legal costs incurred by the </w:t>
      </w:r>
      <w:r w:rsidR="00616010" w:rsidRPr="00211121">
        <w:rPr>
          <w:rFonts w:cstheme="minorHAnsi"/>
        </w:rPr>
        <w:t>A</w:t>
      </w:r>
      <w:r w:rsidR="009B7663" w:rsidRPr="00211121">
        <w:rPr>
          <w:rFonts w:cstheme="minorHAnsi"/>
        </w:rPr>
        <w:t>ssociation.</w:t>
      </w:r>
      <w:r w:rsidR="00273561" w:rsidRPr="00211121">
        <w:rPr>
          <w:rFonts w:cstheme="minorHAnsi"/>
        </w:rPr>
        <w:t xml:space="preserve"> Legal action may also be commenced if fewer than four fines have been levied but o</w:t>
      </w:r>
      <w:r w:rsidR="00D807DD">
        <w:rPr>
          <w:rFonts w:cstheme="minorHAnsi"/>
        </w:rPr>
        <w:t>ther amounts assessed against a m</w:t>
      </w:r>
      <w:r w:rsidR="008418F9">
        <w:rPr>
          <w:rFonts w:cstheme="minorHAnsi"/>
        </w:rPr>
        <w:t>ember</w:t>
      </w:r>
      <w:r w:rsidR="00D807DD">
        <w:rPr>
          <w:rFonts w:cstheme="minorHAnsi"/>
        </w:rPr>
        <w:t>’s</w:t>
      </w:r>
      <w:r w:rsidR="00273561" w:rsidRPr="00211121">
        <w:rPr>
          <w:rFonts w:cstheme="minorHAnsi"/>
        </w:rPr>
        <w:t xml:space="preserve"> </w:t>
      </w:r>
      <w:r w:rsidR="00D807DD" w:rsidRPr="00211121">
        <w:rPr>
          <w:rFonts w:cstheme="minorHAnsi"/>
        </w:rPr>
        <w:t>account remains</w:t>
      </w:r>
      <w:r w:rsidR="00273561" w:rsidRPr="00211121">
        <w:rPr>
          <w:rFonts w:cstheme="minorHAnsi"/>
        </w:rPr>
        <w:t xml:space="preserve"> unpaid.</w:t>
      </w:r>
    </w:p>
    <w:p w14:paraId="0A2FC0F9" w14:textId="77777777" w:rsidR="002D21BF" w:rsidRPr="00211121" w:rsidRDefault="002D21BF" w:rsidP="00211121">
      <w:pPr>
        <w:pStyle w:val="ListParagraph"/>
        <w:rPr>
          <w:rFonts w:cstheme="minorHAnsi"/>
        </w:rPr>
      </w:pPr>
    </w:p>
    <w:p w14:paraId="57BD09D9" w14:textId="04D5CF52" w:rsidR="002D21BF" w:rsidRPr="00211121" w:rsidRDefault="002D21BF" w:rsidP="00616010">
      <w:pPr>
        <w:pStyle w:val="ListParagraph"/>
        <w:numPr>
          <w:ilvl w:val="0"/>
          <w:numId w:val="10"/>
        </w:numPr>
        <w:spacing w:after="0" w:line="240" w:lineRule="auto"/>
        <w:ind w:left="270"/>
        <w:rPr>
          <w:rFonts w:cstheme="minorHAnsi"/>
        </w:rPr>
      </w:pPr>
      <w:r w:rsidRPr="00211121">
        <w:rPr>
          <w:rFonts w:cstheme="minorHAnsi"/>
        </w:rPr>
        <w:t>If a fine is not paid with the next regular monthly assessment after the fine is assessed, it will be treated as a delinquent assessment and will be subject to all of the collection remedies detailed in the Association’s governing documents.</w:t>
      </w:r>
    </w:p>
    <w:p w14:paraId="188EB68E" w14:textId="77777777" w:rsidR="003F205C" w:rsidRPr="00211121" w:rsidRDefault="003F205C" w:rsidP="00694F6E">
      <w:pPr>
        <w:spacing w:after="0"/>
        <w:rPr>
          <w:rFonts w:cstheme="minorHAnsi"/>
          <w:b/>
        </w:rPr>
      </w:pPr>
    </w:p>
    <w:p w14:paraId="49D40E83" w14:textId="43E07F2D" w:rsidR="00694F6E" w:rsidRPr="008418F9" w:rsidRDefault="00380FE7" w:rsidP="00694F6E">
      <w:pPr>
        <w:spacing w:after="0"/>
        <w:rPr>
          <w:rFonts w:cstheme="minorHAnsi"/>
          <w:b/>
        </w:rPr>
      </w:pPr>
      <w:r w:rsidRPr="008418F9">
        <w:rPr>
          <w:rFonts w:cstheme="minorHAnsi"/>
          <w:b/>
        </w:rPr>
        <w:t xml:space="preserve">C: </w:t>
      </w:r>
      <w:r w:rsidR="00694F6E" w:rsidRPr="008418F9">
        <w:rPr>
          <w:rFonts w:cstheme="minorHAnsi"/>
          <w:b/>
        </w:rPr>
        <w:t>Architectural Violations</w:t>
      </w:r>
    </w:p>
    <w:p w14:paraId="5D3D3A36" w14:textId="77777777" w:rsidR="003F756D" w:rsidRPr="008418F9" w:rsidRDefault="003F756D" w:rsidP="00694F6E">
      <w:pPr>
        <w:spacing w:after="0"/>
        <w:rPr>
          <w:rFonts w:cstheme="minorHAnsi"/>
          <w:b/>
        </w:rPr>
      </w:pPr>
    </w:p>
    <w:p w14:paraId="7142CD7C" w14:textId="77777777" w:rsidR="003F756D" w:rsidRPr="008418F9" w:rsidRDefault="003F756D" w:rsidP="00211121">
      <w:pPr>
        <w:pStyle w:val="ListParagraph"/>
        <w:numPr>
          <w:ilvl w:val="0"/>
          <w:numId w:val="12"/>
        </w:numPr>
        <w:spacing w:after="240" w:line="240" w:lineRule="auto"/>
        <w:ind w:left="274"/>
        <w:contextualSpacing w:val="0"/>
        <w:rPr>
          <w:rFonts w:cstheme="minorHAnsi"/>
        </w:rPr>
      </w:pPr>
      <w:r w:rsidRPr="008418F9">
        <w:rPr>
          <w:rFonts w:cstheme="minorHAnsi"/>
        </w:rPr>
        <w:t>Tree removals in excess of 35% of the total property trees in one calendar year that has not received ACC approval will be subject to fines up to $500 per incident</w:t>
      </w:r>
    </w:p>
    <w:p w14:paraId="5842B5F1" w14:textId="77777777" w:rsidR="003F756D" w:rsidRPr="008418F9" w:rsidRDefault="003F756D" w:rsidP="003F756D">
      <w:pPr>
        <w:pStyle w:val="ListParagraph"/>
        <w:numPr>
          <w:ilvl w:val="0"/>
          <w:numId w:val="12"/>
        </w:numPr>
        <w:spacing w:after="0" w:line="240" w:lineRule="auto"/>
        <w:ind w:left="270"/>
        <w:rPr>
          <w:rFonts w:cstheme="minorHAnsi"/>
        </w:rPr>
      </w:pPr>
      <w:r w:rsidRPr="008418F9">
        <w:rPr>
          <w:rFonts w:cstheme="minorHAnsi"/>
        </w:rPr>
        <w:t xml:space="preserve"> Architectural structure violations shall result in an initial fine of up to $500.  </w:t>
      </w:r>
    </w:p>
    <w:p w14:paraId="07D40AD0" w14:textId="77777777" w:rsidR="003F756D" w:rsidRPr="008418F9" w:rsidRDefault="003F756D" w:rsidP="00211121">
      <w:pPr>
        <w:spacing w:after="0" w:line="240" w:lineRule="auto"/>
        <w:ind w:left="-90"/>
        <w:rPr>
          <w:rFonts w:cstheme="minorHAnsi"/>
        </w:rPr>
      </w:pPr>
    </w:p>
    <w:p w14:paraId="5B4DDAEF" w14:textId="77777777" w:rsidR="003F756D" w:rsidRPr="008418F9" w:rsidRDefault="003F756D" w:rsidP="00211121">
      <w:pPr>
        <w:pStyle w:val="ListParagraph"/>
        <w:numPr>
          <w:ilvl w:val="0"/>
          <w:numId w:val="12"/>
        </w:numPr>
        <w:spacing w:after="0" w:line="240" w:lineRule="auto"/>
        <w:ind w:left="270"/>
        <w:rPr>
          <w:rFonts w:cstheme="minorHAnsi"/>
        </w:rPr>
      </w:pPr>
      <w:r w:rsidRPr="008418F9">
        <w:rPr>
          <w:rFonts w:cstheme="minorHAnsi"/>
        </w:rPr>
        <w:t xml:space="preserve">Architectural structure violations not resolved after 30 days shall be subject to a second additional fine of up to $500. </w:t>
      </w:r>
    </w:p>
    <w:p w14:paraId="74BE134F" w14:textId="77777777" w:rsidR="003F756D" w:rsidRPr="008418F9" w:rsidRDefault="003F756D" w:rsidP="00211121">
      <w:pPr>
        <w:pStyle w:val="ListParagraph"/>
        <w:rPr>
          <w:rFonts w:cstheme="minorHAnsi"/>
        </w:rPr>
      </w:pPr>
    </w:p>
    <w:p w14:paraId="54D4E4FB" w14:textId="7C3BD9A3" w:rsidR="003F756D" w:rsidRPr="008418F9" w:rsidRDefault="003F756D" w:rsidP="00211121">
      <w:pPr>
        <w:pStyle w:val="ListParagraph"/>
        <w:numPr>
          <w:ilvl w:val="0"/>
          <w:numId w:val="12"/>
        </w:numPr>
        <w:spacing w:after="0" w:line="240" w:lineRule="auto"/>
        <w:ind w:left="270"/>
        <w:rPr>
          <w:rFonts w:cstheme="minorHAnsi"/>
        </w:rPr>
      </w:pPr>
      <w:r w:rsidRPr="008418F9">
        <w:rPr>
          <w:rFonts w:cstheme="minorHAnsi"/>
        </w:rPr>
        <w:t>Architectural structure violations not resolved within 60 days, or after two fines, will be subject to legal action.</w:t>
      </w:r>
    </w:p>
    <w:p w14:paraId="1EBA1257" w14:textId="77777777" w:rsidR="004B6827" w:rsidRPr="00211121" w:rsidRDefault="004B6827" w:rsidP="004B6827">
      <w:pPr>
        <w:pStyle w:val="ListParagraph"/>
        <w:rPr>
          <w:rFonts w:cstheme="minorHAnsi"/>
          <w:i/>
        </w:rPr>
      </w:pPr>
    </w:p>
    <w:p w14:paraId="67BFC941" w14:textId="5AA8D3FE" w:rsidR="00694F6E" w:rsidRPr="00211121" w:rsidRDefault="009B7663" w:rsidP="00694F6E">
      <w:pPr>
        <w:pStyle w:val="ListParagraph"/>
        <w:numPr>
          <w:ilvl w:val="0"/>
          <w:numId w:val="4"/>
        </w:numPr>
        <w:spacing w:after="0" w:line="240" w:lineRule="auto"/>
        <w:ind w:left="270"/>
        <w:rPr>
          <w:rFonts w:cstheme="minorHAnsi"/>
          <w:i/>
        </w:rPr>
      </w:pPr>
      <w:r w:rsidRPr="00211121">
        <w:rPr>
          <w:rFonts w:cstheme="minorHAnsi"/>
        </w:rPr>
        <w:t xml:space="preserve">Violators will be responsible for any processing fees, penalties, </w:t>
      </w:r>
      <w:r w:rsidR="00D83AA5" w:rsidRPr="00211121">
        <w:rPr>
          <w:rFonts w:cstheme="minorHAnsi"/>
        </w:rPr>
        <w:t xml:space="preserve">interest, </w:t>
      </w:r>
      <w:r w:rsidRPr="00211121">
        <w:rPr>
          <w:rFonts w:cstheme="minorHAnsi"/>
        </w:rPr>
        <w:t xml:space="preserve">and legal costs incurred by the </w:t>
      </w:r>
      <w:r w:rsidR="00B20716" w:rsidRPr="00211121">
        <w:rPr>
          <w:rFonts w:cstheme="minorHAnsi"/>
        </w:rPr>
        <w:t>A</w:t>
      </w:r>
      <w:r w:rsidRPr="00211121">
        <w:rPr>
          <w:rFonts w:cstheme="minorHAnsi"/>
        </w:rPr>
        <w:t>ssociation</w:t>
      </w:r>
      <w:r w:rsidR="00A1479E" w:rsidRPr="00211121">
        <w:rPr>
          <w:rFonts w:cstheme="minorHAnsi"/>
        </w:rPr>
        <w:t xml:space="preserve">.  </w:t>
      </w:r>
      <w:r w:rsidR="00A1479E" w:rsidRPr="00211121">
        <w:rPr>
          <w:rFonts w:cstheme="minorHAnsi"/>
          <w:i/>
        </w:rPr>
        <w:t xml:space="preserve">  </w:t>
      </w:r>
    </w:p>
    <w:p w14:paraId="64A32A3F" w14:textId="77777777" w:rsidR="00B36D62" w:rsidRPr="00211121" w:rsidRDefault="00B36D62" w:rsidP="00B36D62">
      <w:pPr>
        <w:spacing w:after="0" w:line="240" w:lineRule="auto"/>
        <w:ind w:left="-90"/>
        <w:rPr>
          <w:rFonts w:cstheme="minorHAnsi"/>
        </w:rPr>
      </w:pPr>
    </w:p>
    <w:p w14:paraId="1611D7B6" w14:textId="5E43A7ED" w:rsidR="009B7663" w:rsidRPr="00211121" w:rsidRDefault="009B7663" w:rsidP="009B7663">
      <w:pPr>
        <w:pStyle w:val="ListParagraph"/>
        <w:numPr>
          <w:ilvl w:val="0"/>
          <w:numId w:val="4"/>
        </w:numPr>
        <w:spacing w:after="0" w:line="240" w:lineRule="auto"/>
        <w:ind w:left="270"/>
        <w:rPr>
          <w:rFonts w:cstheme="minorHAnsi"/>
        </w:rPr>
      </w:pPr>
      <w:r w:rsidRPr="00211121">
        <w:rPr>
          <w:rFonts w:cstheme="minorHAnsi"/>
        </w:rPr>
        <w:t xml:space="preserve">Any property in violation of LCC </w:t>
      </w:r>
      <w:r w:rsidR="00381239" w:rsidRPr="00211121">
        <w:rPr>
          <w:rFonts w:cstheme="minorHAnsi"/>
        </w:rPr>
        <w:t xml:space="preserve">Protective </w:t>
      </w:r>
      <w:r w:rsidRPr="00211121">
        <w:rPr>
          <w:rFonts w:cstheme="minorHAnsi"/>
        </w:rPr>
        <w:t>Covenant Article III: Section A (whereas “no building shall be altered, erected, placed or permitted to remain on any lot other than one detached single-family dwelling, nor exceeding two stories in height”); or Section B (whereas</w:t>
      </w:r>
      <w:r w:rsidR="001167E8" w:rsidRPr="00211121">
        <w:rPr>
          <w:rFonts w:cstheme="minorHAnsi"/>
        </w:rPr>
        <w:t xml:space="preserve"> “</w:t>
      </w:r>
      <w:r w:rsidRPr="00211121">
        <w:rPr>
          <w:rFonts w:cstheme="minorHAnsi"/>
        </w:rPr>
        <w:t>no accessory structure may be used as living space</w:t>
      </w:r>
      <w:r w:rsidR="001167E8" w:rsidRPr="00211121">
        <w:rPr>
          <w:rFonts w:cstheme="minorHAnsi"/>
        </w:rPr>
        <w:t>”</w:t>
      </w:r>
      <w:r w:rsidRPr="00211121">
        <w:rPr>
          <w:rFonts w:cstheme="minorHAnsi"/>
        </w:rPr>
        <w:t xml:space="preserve">) </w:t>
      </w:r>
      <w:r w:rsidR="00116290" w:rsidRPr="00211121">
        <w:rPr>
          <w:rFonts w:cstheme="minorHAnsi"/>
        </w:rPr>
        <w:t>will</w:t>
      </w:r>
      <w:r w:rsidRPr="00211121">
        <w:rPr>
          <w:rFonts w:cstheme="minorHAnsi"/>
        </w:rPr>
        <w:t xml:space="preserve"> be subject to immediate legal action.</w:t>
      </w:r>
    </w:p>
    <w:p w14:paraId="4398AD76" w14:textId="77777777" w:rsidR="00694F6E" w:rsidRPr="00211121" w:rsidRDefault="00694F6E" w:rsidP="00694F6E">
      <w:pPr>
        <w:spacing w:after="0"/>
        <w:rPr>
          <w:rFonts w:cstheme="minorHAnsi"/>
        </w:rPr>
      </w:pPr>
    </w:p>
    <w:p w14:paraId="53436274" w14:textId="167BCC46" w:rsidR="00694F6E" w:rsidRPr="00211121" w:rsidRDefault="00380FE7" w:rsidP="00694F6E">
      <w:pPr>
        <w:spacing w:after="0"/>
        <w:rPr>
          <w:rFonts w:cstheme="minorHAnsi"/>
          <w:b/>
        </w:rPr>
      </w:pPr>
      <w:r w:rsidRPr="00211121">
        <w:rPr>
          <w:rFonts w:cstheme="minorHAnsi"/>
          <w:b/>
        </w:rPr>
        <w:t xml:space="preserve">D: </w:t>
      </w:r>
      <w:r w:rsidR="00694F6E" w:rsidRPr="00211121">
        <w:rPr>
          <w:rFonts w:cstheme="minorHAnsi"/>
          <w:b/>
        </w:rPr>
        <w:t>Appeal Process</w:t>
      </w:r>
      <w:r w:rsidR="00AD6B17" w:rsidRPr="00211121">
        <w:rPr>
          <w:rFonts w:cstheme="minorHAnsi"/>
          <w:b/>
        </w:rPr>
        <w:t xml:space="preserve"> </w:t>
      </w:r>
    </w:p>
    <w:p w14:paraId="5B24ED22" w14:textId="77777777" w:rsidR="00694F6E" w:rsidRPr="00211121" w:rsidRDefault="00694F6E" w:rsidP="00694F6E">
      <w:pPr>
        <w:spacing w:after="0"/>
        <w:rPr>
          <w:rFonts w:cstheme="minorHAnsi"/>
        </w:rPr>
      </w:pPr>
    </w:p>
    <w:p w14:paraId="6CAF54CE" w14:textId="6C2B2B34" w:rsidR="003812D1" w:rsidRPr="00211121" w:rsidRDefault="00FE49EC" w:rsidP="00572077">
      <w:pPr>
        <w:pStyle w:val="ListParagraph"/>
        <w:numPr>
          <w:ilvl w:val="0"/>
          <w:numId w:val="6"/>
        </w:numPr>
        <w:spacing w:after="0" w:line="240" w:lineRule="auto"/>
        <w:ind w:left="270"/>
        <w:rPr>
          <w:rFonts w:cstheme="minorHAnsi"/>
        </w:rPr>
      </w:pPr>
      <w:r w:rsidRPr="00211121">
        <w:rPr>
          <w:rFonts w:cstheme="minorHAnsi"/>
        </w:rPr>
        <w:t xml:space="preserve">An appeal may be filed with the </w:t>
      </w:r>
      <w:r w:rsidR="00A27425" w:rsidRPr="00211121">
        <w:rPr>
          <w:rFonts w:cstheme="minorHAnsi"/>
        </w:rPr>
        <w:t>Association</w:t>
      </w:r>
      <w:r w:rsidR="00616010" w:rsidRPr="00211121">
        <w:rPr>
          <w:rFonts w:cstheme="minorHAnsi"/>
        </w:rPr>
        <w:t xml:space="preserve"> </w:t>
      </w:r>
      <w:r w:rsidRPr="00211121">
        <w:rPr>
          <w:rFonts w:cstheme="minorHAnsi"/>
        </w:rPr>
        <w:t xml:space="preserve">through its management company should </w:t>
      </w:r>
      <w:r w:rsidR="002C1CC4" w:rsidRPr="00211121">
        <w:rPr>
          <w:rFonts w:cstheme="minorHAnsi"/>
        </w:rPr>
        <w:t>a</w:t>
      </w:r>
      <w:r w:rsidRPr="00211121">
        <w:rPr>
          <w:rFonts w:cstheme="minorHAnsi"/>
        </w:rPr>
        <w:t xml:space="preserve"> </w:t>
      </w:r>
      <w:r w:rsidR="005C294C">
        <w:rPr>
          <w:rFonts w:cstheme="minorHAnsi"/>
        </w:rPr>
        <w:t>m</w:t>
      </w:r>
      <w:r w:rsidR="00E46BC3" w:rsidRPr="00211121">
        <w:rPr>
          <w:rFonts w:cstheme="minorHAnsi"/>
        </w:rPr>
        <w:t>ember</w:t>
      </w:r>
      <w:r w:rsidRPr="00211121">
        <w:rPr>
          <w:rFonts w:cstheme="minorHAnsi"/>
        </w:rPr>
        <w:t xml:space="preserve"> disagree</w:t>
      </w:r>
      <w:r w:rsidR="003812D1" w:rsidRPr="00211121">
        <w:rPr>
          <w:rFonts w:cstheme="minorHAnsi"/>
        </w:rPr>
        <w:t xml:space="preserve"> with </w:t>
      </w:r>
      <w:r w:rsidRPr="00211121">
        <w:rPr>
          <w:rFonts w:cstheme="minorHAnsi"/>
        </w:rPr>
        <w:t>a</w:t>
      </w:r>
      <w:r w:rsidR="003812D1" w:rsidRPr="00211121">
        <w:rPr>
          <w:rFonts w:cstheme="minorHAnsi"/>
        </w:rPr>
        <w:t xml:space="preserve"> violation notice or fine.</w:t>
      </w:r>
      <w:r w:rsidR="002C1CC4" w:rsidRPr="00211121">
        <w:rPr>
          <w:rFonts w:cstheme="minorHAnsi"/>
        </w:rPr>
        <w:t xml:space="preserve"> Members may also seek a </w:t>
      </w:r>
      <w:r w:rsidR="00172AAF" w:rsidRPr="00211121">
        <w:rPr>
          <w:rFonts w:cstheme="minorHAnsi"/>
        </w:rPr>
        <w:t>hearing</w:t>
      </w:r>
      <w:r w:rsidR="002C1CC4" w:rsidRPr="00211121">
        <w:rPr>
          <w:rFonts w:cstheme="minorHAnsi"/>
        </w:rPr>
        <w:t xml:space="preserve"> with the </w:t>
      </w:r>
      <w:r w:rsidR="00A27425" w:rsidRPr="00211121">
        <w:rPr>
          <w:rFonts w:cstheme="minorHAnsi"/>
        </w:rPr>
        <w:t>Association b</w:t>
      </w:r>
      <w:r w:rsidR="002C1CC4" w:rsidRPr="00211121">
        <w:rPr>
          <w:rFonts w:cstheme="minorHAnsi"/>
        </w:rPr>
        <w:t xml:space="preserve">oard </w:t>
      </w:r>
      <w:r w:rsidR="005E3B68" w:rsidRPr="00211121">
        <w:rPr>
          <w:rFonts w:cstheme="minorHAnsi"/>
        </w:rPr>
        <w:t xml:space="preserve">of directors </w:t>
      </w:r>
      <w:r w:rsidR="002C1CC4" w:rsidRPr="00211121">
        <w:rPr>
          <w:rFonts w:cstheme="minorHAnsi"/>
        </w:rPr>
        <w:t>as part of the appeal process.</w:t>
      </w:r>
      <w:r w:rsidR="002C1CC4" w:rsidRPr="00211121">
        <w:rPr>
          <w:rFonts w:cstheme="minorHAnsi"/>
          <w:strike/>
        </w:rPr>
        <w:t xml:space="preserve"> </w:t>
      </w:r>
    </w:p>
    <w:sectPr w:rsidR="003812D1" w:rsidRPr="00211121" w:rsidSect="0036187B">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B60E" w14:textId="77777777" w:rsidR="008324F0" w:rsidRDefault="008324F0" w:rsidP="00935092">
      <w:pPr>
        <w:spacing w:after="0" w:line="240" w:lineRule="auto"/>
      </w:pPr>
      <w:r>
        <w:separator/>
      </w:r>
    </w:p>
  </w:endnote>
  <w:endnote w:type="continuationSeparator" w:id="0">
    <w:p w14:paraId="0D5ED919" w14:textId="77777777" w:rsidR="008324F0" w:rsidRDefault="008324F0" w:rsidP="00935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56D9" w14:textId="7DDD9B5B" w:rsidR="00F40F11" w:rsidRPr="00807CBE" w:rsidRDefault="00F40F11" w:rsidP="00172AAF">
    <w:pPr>
      <w:spacing w:after="0"/>
      <w:rPr>
        <w:rFonts w:cstheme="minorHAnsi"/>
        <w:b/>
        <w:sz w:val="24"/>
        <w:szCs w:val="24"/>
      </w:rPr>
    </w:pPr>
    <w:r>
      <w:rPr>
        <w:rFonts w:cstheme="minorHAnsi"/>
        <w:b/>
        <w:sz w:val="24"/>
        <w:szCs w:val="24"/>
      </w:rPr>
      <w:t xml:space="preserve">V. </w:t>
    </w:r>
    <w:r w:rsidR="00336578">
      <w:rPr>
        <w:rFonts w:cstheme="minorHAnsi"/>
        <w:b/>
        <w:sz w:val="24"/>
        <w:szCs w:val="24"/>
      </w:rPr>
      <w:t>4.</w:t>
    </w:r>
    <w:r w:rsidR="0036187B">
      <w:rPr>
        <w:rFonts w:cstheme="minorHAnsi"/>
        <w:b/>
        <w:sz w:val="24"/>
        <w:szCs w:val="24"/>
      </w:rPr>
      <w:t>6</w:t>
    </w:r>
    <w:r w:rsidR="008418F9">
      <w:rPr>
        <w:rFonts w:cstheme="minorHAnsi"/>
        <w:b/>
        <w:sz w:val="24"/>
        <w:szCs w:val="24"/>
      </w:rPr>
      <w:t xml:space="preserve"> </w:t>
    </w:r>
    <w:r>
      <w:rPr>
        <w:rFonts w:cstheme="minorHAnsi"/>
        <w:b/>
        <w:sz w:val="24"/>
        <w:szCs w:val="24"/>
      </w:rPr>
      <w:t>(</w:t>
    </w:r>
    <w:r w:rsidR="00BE3C42">
      <w:rPr>
        <w:rFonts w:cstheme="minorHAnsi"/>
        <w:b/>
        <w:sz w:val="24"/>
        <w:szCs w:val="24"/>
      </w:rPr>
      <w:t>June</w:t>
    </w:r>
    <w:r>
      <w:rPr>
        <w:rFonts w:cstheme="minorHAnsi"/>
        <w:b/>
        <w:sz w:val="24"/>
        <w:szCs w:val="24"/>
      </w:rPr>
      <w:t xml:space="preserve"> 2021)</w:t>
    </w:r>
  </w:p>
  <w:p w14:paraId="613180BA" w14:textId="4D1FA207" w:rsidR="00F40F11" w:rsidRDefault="00F40F11" w:rsidP="00172AAF">
    <w:pPr>
      <w:pStyle w:val="Footer"/>
      <w:jc w:val="both"/>
    </w:pPr>
  </w:p>
  <w:p w14:paraId="3F7EC9EB" w14:textId="77777777" w:rsidR="00F40F11" w:rsidRDefault="00F4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8CC" w14:textId="77777777" w:rsidR="008324F0" w:rsidRDefault="008324F0" w:rsidP="00935092">
      <w:pPr>
        <w:spacing w:after="0" w:line="240" w:lineRule="auto"/>
      </w:pPr>
      <w:r>
        <w:separator/>
      </w:r>
    </w:p>
  </w:footnote>
  <w:footnote w:type="continuationSeparator" w:id="0">
    <w:p w14:paraId="2852AC98" w14:textId="77777777" w:rsidR="008324F0" w:rsidRDefault="008324F0" w:rsidP="00935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8"/>
    <w:multiLevelType w:val="hybridMultilevel"/>
    <w:tmpl w:val="6E7CF61E"/>
    <w:lvl w:ilvl="0" w:tplc="64A68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D8C"/>
    <w:multiLevelType w:val="hybridMultilevel"/>
    <w:tmpl w:val="F7AE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946B0"/>
    <w:multiLevelType w:val="hybridMultilevel"/>
    <w:tmpl w:val="2962F350"/>
    <w:lvl w:ilvl="0" w:tplc="C4AA5B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36615"/>
    <w:multiLevelType w:val="hybridMultilevel"/>
    <w:tmpl w:val="3356F724"/>
    <w:lvl w:ilvl="0" w:tplc="A8A2F5A4">
      <w:start w:val="2"/>
      <w:numFmt w:val="decimal"/>
      <w:lvlText w:val="%1."/>
      <w:lvlJc w:val="left"/>
      <w:pPr>
        <w:ind w:left="720" w:hanging="360"/>
      </w:pPr>
      <w:rPr>
        <w:rFonts w:hint="default"/>
      </w:rPr>
    </w:lvl>
    <w:lvl w:ilvl="1" w:tplc="C3CCDDC4">
      <w:start w:val="1"/>
      <w:numFmt w:val="lowerLetter"/>
      <w:lvlText w:val="%2."/>
      <w:lvlJc w:val="left"/>
      <w:pPr>
        <w:ind w:left="1440" w:hanging="360"/>
      </w:pPr>
    </w:lvl>
    <w:lvl w:ilvl="2" w:tplc="5978BA4C">
      <w:start w:val="1"/>
      <w:numFmt w:val="lowerRoman"/>
      <w:lvlText w:val="%3."/>
      <w:lvlJc w:val="right"/>
      <w:pPr>
        <w:ind w:left="2160" w:hanging="180"/>
      </w:pPr>
    </w:lvl>
    <w:lvl w:ilvl="3" w:tplc="04EC4B4E">
      <w:start w:val="1"/>
      <w:numFmt w:val="decimal"/>
      <w:lvlText w:val="%4."/>
      <w:lvlJc w:val="left"/>
      <w:pPr>
        <w:ind w:left="2880" w:hanging="360"/>
      </w:pPr>
      <w:rPr>
        <w:rFonts w:asciiTheme="minorHAnsi" w:eastAsiaTheme="minorHAnsi" w:hAnsiTheme="minorHAnsi" w:cstheme="minorHAnsi"/>
      </w:rPr>
    </w:lvl>
    <w:lvl w:ilvl="4" w:tplc="A7F843D0">
      <w:start w:val="1"/>
      <w:numFmt w:val="lowerLetter"/>
      <w:lvlText w:val="%5."/>
      <w:lvlJc w:val="left"/>
      <w:pPr>
        <w:ind w:left="3600" w:hanging="360"/>
      </w:pPr>
    </w:lvl>
    <w:lvl w:ilvl="5" w:tplc="F7CC1552">
      <w:start w:val="1"/>
      <w:numFmt w:val="lowerRoman"/>
      <w:lvlText w:val="%6."/>
      <w:lvlJc w:val="right"/>
      <w:pPr>
        <w:ind w:left="4320" w:hanging="180"/>
      </w:pPr>
    </w:lvl>
    <w:lvl w:ilvl="6" w:tplc="2EEC6EE4">
      <w:start w:val="1"/>
      <w:numFmt w:val="decimal"/>
      <w:lvlText w:val="%7."/>
      <w:lvlJc w:val="left"/>
      <w:pPr>
        <w:ind w:left="5040" w:hanging="360"/>
      </w:pPr>
    </w:lvl>
    <w:lvl w:ilvl="7" w:tplc="AE823D66">
      <w:start w:val="1"/>
      <w:numFmt w:val="lowerLetter"/>
      <w:lvlText w:val="%8."/>
      <w:lvlJc w:val="left"/>
      <w:pPr>
        <w:ind w:left="5760" w:hanging="360"/>
      </w:pPr>
    </w:lvl>
    <w:lvl w:ilvl="8" w:tplc="BCCC85FC">
      <w:start w:val="1"/>
      <w:numFmt w:val="lowerRoman"/>
      <w:lvlText w:val="%9."/>
      <w:lvlJc w:val="right"/>
      <w:pPr>
        <w:ind w:left="6480" w:hanging="180"/>
      </w:pPr>
    </w:lvl>
  </w:abstractNum>
  <w:abstractNum w:abstractNumId="4" w15:restartNumberingAfterBreak="0">
    <w:nsid w:val="310E3592"/>
    <w:multiLevelType w:val="hybridMultilevel"/>
    <w:tmpl w:val="9EB06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71757"/>
    <w:multiLevelType w:val="hybridMultilevel"/>
    <w:tmpl w:val="1D84B656"/>
    <w:lvl w:ilvl="0" w:tplc="1D689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12509"/>
    <w:multiLevelType w:val="hybridMultilevel"/>
    <w:tmpl w:val="E55211F4"/>
    <w:lvl w:ilvl="0" w:tplc="050C1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D380B"/>
    <w:multiLevelType w:val="hybridMultilevel"/>
    <w:tmpl w:val="9970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23A30"/>
    <w:multiLevelType w:val="hybridMultilevel"/>
    <w:tmpl w:val="11041B72"/>
    <w:lvl w:ilvl="0" w:tplc="8C6233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56E1E"/>
    <w:multiLevelType w:val="hybridMultilevel"/>
    <w:tmpl w:val="8294014C"/>
    <w:lvl w:ilvl="0" w:tplc="F18C4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1CC5"/>
    <w:multiLevelType w:val="hybridMultilevel"/>
    <w:tmpl w:val="6408F5EE"/>
    <w:lvl w:ilvl="0" w:tplc="E7BCA1B4">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
  </w:num>
  <w:num w:numId="5">
    <w:abstractNumId w:val="7"/>
  </w:num>
  <w:num w:numId="6">
    <w:abstractNumId w:val="0"/>
  </w:num>
  <w:num w:numId="7">
    <w:abstractNumId w:val="2"/>
  </w:num>
  <w:num w:numId="8">
    <w:abstractNumId w:val="6"/>
  </w:num>
  <w:num w:numId="9">
    <w:abstractNumId w:val="5"/>
  </w:num>
  <w:num w:numId="10">
    <w:abstractNumId w:val="9"/>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1DC"/>
    <w:rsid w:val="00004F8A"/>
    <w:rsid w:val="0002456C"/>
    <w:rsid w:val="00041490"/>
    <w:rsid w:val="00043CF2"/>
    <w:rsid w:val="000703B3"/>
    <w:rsid w:val="000730EF"/>
    <w:rsid w:val="00083565"/>
    <w:rsid w:val="0009310A"/>
    <w:rsid w:val="000A7D55"/>
    <w:rsid w:val="00116290"/>
    <w:rsid w:val="001167E8"/>
    <w:rsid w:val="00117EE0"/>
    <w:rsid w:val="00131793"/>
    <w:rsid w:val="00160459"/>
    <w:rsid w:val="00172AAF"/>
    <w:rsid w:val="001804A9"/>
    <w:rsid w:val="00194699"/>
    <w:rsid w:val="001A0154"/>
    <w:rsid w:val="00211121"/>
    <w:rsid w:val="00256EF1"/>
    <w:rsid w:val="00273561"/>
    <w:rsid w:val="002772E7"/>
    <w:rsid w:val="002C1CC4"/>
    <w:rsid w:val="002D21BF"/>
    <w:rsid w:val="002F015D"/>
    <w:rsid w:val="0032131E"/>
    <w:rsid w:val="00332BC9"/>
    <w:rsid w:val="00336578"/>
    <w:rsid w:val="0036187B"/>
    <w:rsid w:val="00380FE7"/>
    <w:rsid w:val="00381239"/>
    <w:rsid w:val="003812D1"/>
    <w:rsid w:val="003A5309"/>
    <w:rsid w:val="003C430E"/>
    <w:rsid w:val="003C6629"/>
    <w:rsid w:val="003E3315"/>
    <w:rsid w:val="003F205C"/>
    <w:rsid w:val="003F27AC"/>
    <w:rsid w:val="003F756D"/>
    <w:rsid w:val="00422FEC"/>
    <w:rsid w:val="00486B2A"/>
    <w:rsid w:val="00487002"/>
    <w:rsid w:val="004B6827"/>
    <w:rsid w:val="005014AB"/>
    <w:rsid w:val="00572077"/>
    <w:rsid w:val="00580DE2"/>
    <w:rsid w:val="00597A8D"/>
    <w:rsid w:val="005C258B"/>
    <w:rsid w:val="005C294C"/>
    <w:rsid w:val="005E3B68"/>
    <w:rsid w:val="005F00F6"/>
    <w:rsid w:val="005F0CC7"/>
    <w:rsid w:val="005F14BD"/>
    <w:rsid w:val="005F271E"/>
    <w:rsid w:val="00600B9D"/>
    <w:rsid w:val="00616010"/>
    <w:rsid w:val="00621397"/>
    <w:rsid w:val="006521C7"/>
    <w:rsid w:val="00657BB1"/>
    <w:rsid w:val="0066227E"/>
    <w:rsid w:val="00663023"/>
    <w:rsid w:val="006815A5"/>
    <w:rsid w:val="006826D5"/>
    <w:rsid w:val="00694F6E"/>
    <w:rsid w:val="007426F2"/>
    <w:rsid w:val="007A6508"/>
    <w:rsid w:val="007D2E9F"/>
    <w:rsid w:val="00807CBE"/>
    <w:rsid w:val="0081193B"/>
    <w:rsid w:val="008324F0"/>
    <w:rsid w:val="008418F9"/>
    <w:rsid w:val="00847AD1"/>
    <w:rsid w:val="00861F4F"/>
    <w:rsid w:val="00863A65"/>
    <w:rsid w:val="008A2D0A"/>
    <w:rsid w:val="008E6A07"/>
    <w:rsid w:val="008F6BFE"/>
    <w:rsid w:val="009335BF"/>
    <w:rsid w:val="00935092"/>
    <w:rsid w:val="009404C4"/>
    <w:rsid w:val="00943249"/>
    <w:rsid w:val="009433E4"/>
    <w:rsid w:val="0097056E"/>
    <w:rsid w:val="00982A94"/>
    <w:rsid w:val="00987026"/>
    <w:rsid w:val="009920BF"/>
    <w:rsid w:val="009B6F43"/>
    <w:rsid w:val="009B7663"/>
    <w:rsid w:val="00A1479E"/>
    <w:rsid w:val="00A27425"/>
    <w:rsid w:val="00A350E2"/>
    <w:rsid w:val="00A416BF"/>
    <w:rsid w:val="00A4451F"/>
    <w:rsid w:val="00A562C7"/>
    <w:rsid w:val="00AD6B17"/>
    <w:rsid w:val="00B058B6"/>
    <w:rsid w:val="00B20716"/>
    <w:rsid w:val="00B36D62"/>
    <w:rsid w:val="00B53996"/>
    <w:rsid w:val="00B74C5F"/>
    <w:rsid w:val="00B85BFF"/>
    <w:rsid w:val="00B900FE"/>
    <w:rsid w:val="00BE3C42"/>
    <w:rsid w:val="00BE3D89"/>
    <w:rsid w:val="00BE54CB"/>
    <w:rsid w:val="00BE5921"/>
    <w:rsid w:val="00C12C4B"/>
    <w:rsid w:val="00C262D9"/>
    <w:rsid w:val="00C3652E"/>
    <w:rsid w:val="00D235CC"/>
    <w:rsid w:val="00D5539C"/>
    <w:rsid w:val="00D628CB"/>
    <w:rsid w:val="00D70FFB"/>
    <w:rsid w:val="00D73AB7"/>
    <w:rsid w:val="00D807DD"/>
    <w:rsid w:val="00D83AA5"/>
    <w:rsid w:val="00D87F15"/>
    <w:rsid w:val="00D96ECE"/>
    <w:rsid w:val="00DB5BF5"/>
    <w:rsid w:val="00DD0380"/>
    <w:rsid w:val="00E401DC"/>
    <w:rsid w:val="00E46BC3"/>
    <w:rsid w:val="00E57895"/>
    <w:rsid w:val="00E75ED5"/>
    <w:rsid w:val="00E86B27"/>
    <w:rsid w:val="00EA22D5"/>
    <w:rsid w:val="00EC1B52"/>
    <w:rsid w:val="00EC6C5E"/>
    <w:rsid w:val="00EE3EF4"/>
    <w:rsid w:val="00EF21A4"/>
    <w:rsid w:val="00F259A1"/>
    <w:rsid w:val="00F40F11"/>
    <w:rsid w:val="00F510BB"/>
    <w:rsid w:val="00FA3041"/>
    <w:rsid w:val="00FA4BE9"/>
    <w:rsid w:val="00FA6315"/>
    <w:rsid w:val="00FE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AE47D"/>
  <w15:docId w15:val="{18C728DB-04D3-4C14-BC39-E390E973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C"/>
    <w:pPr>
      <w:ind w:left="720"/>
      <w:contextualSpacing/>
    </w:pPr>
  </w:style>
  <w:style w:type="character" w:styleId="Hyperlink">
    <w:name w:val="Hyperlink"/>
    <w:uiPriority w:val="99"/>
    <w:unhideWhenUsed/>
    <w:rsid w:val="00D628CB"/>
    <w:rPr>
      <w:rFonts w:cs="Times New Roman"/>
      <w:color w:val="0000FF"/>
      <w:u w:val="single"/>
    </w:rPr>
  </w:style>
  <w:style w:type="paragraph" w:styleId="BalloonText">
    <w:name w:val="Balloon Text"/>
    <w:basedOn w:val="Normal"/>
    <w:link w:val="BalloonTextChar"/>
    <w:uiPriority w:val="99"/>
    <w:semiHidden/>
    <w:unhideWhenUsed/>
    <w:rsid w:val="00D6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CB"/>
    <w:rPr>
      <w:rFonts w:ascii="Tahoma" w:hAnsi="Tahoma" w:cs="Tahoma"/>
      <w:sz w:val="16"/>
      <w:szCs w:val="16"/>
    </w:rPr>
  </w:style>
  <w:style w:type="paragraph" w:styleId="Header">
    <w:name w:val="header"/>
    <w:basedOn w:val="Normal"/>
    <w:link w:val="HeaderChar"/>
    <w:uiPriority w:val="99"/>
    <w:unhideWhenUsed/>
    <w:rsid w:val="00935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92"/>
  </w:style>
  <w:style w:type="paragraph" w:styleId="Footer">
    <w:name w:val="footer"/>
    <w:basedOn w:val="Normal"/>
    <w:link w:val="FooterChar"/>
    <w:uiPriority w:val="99"/>
    <w:unhideWhenUsed/>
    <w:rsid w:val="00935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92"/>
  </w:style>
  <w:style w:type="paragraph" w:styleId="Revision">
    <w:name w:val="Revision"/>
    <w:hidden/>
    <w:uiPriority w:val="99"/>
    <w:semiHidden/>
    <w:rsid w:val="00F40F11"/>
    <w:pPr>
      <w:spacing w:after="0" w:line="240" w:lineRule="auto"/>
    </w:pPr>
  </w:style>
  <w:style w:type="character" w:styleId="CommentReference">
    <w:name w:val="annotation reference"/>
    <w:basedOn w:val="DefaultParagraphFont"/>
    <w:uiPriority w:val="99"/>
    <w:semiHidden/>
    <w:unhideWhenUsed/>
    <w:rsid w:val="00BE3D89"/>
    <w:rPr>
      <w:sz w:val="16"/>
      <w:szCs w:val="16"/>
    </w:rPr>
  </w:style>
  <w:style w:type="paragraph" w:styleId="CommentText">
    <w:name w:val="annotation text"/>
    <w:basedOn w:val="Normal"/>
    <w:link w:val="CommentTextChar"/>
    <w:uiPriority w:val="99"/>
    <w:semiHidden/>
    <w:unhideWhenUsed/>
    <w:rsid w:val="00BE3D89"/>
    <w:pPr>
      <w:spacing w:line="240" w:lineRule="auto"/>
    </w:pPr>
    <w:rPr>
      <w:sz w:val="20"/>
      <w:szCs w:val="20"/>
    </w:rPr>
  </w:style>
  <w:style w:type="character" w:customStyle="1" w:styleId="CommentTextChar">
    <w:name w:val="Comment Text Char"/>
    <w:basedOn w:val="DefaultParagraphFont"/>
    <w:link w:val="CommentText"/>
    <w:uiPriority w:val="99"/>
    <w:semiHidden/>
    <w:rsid w:val="00BE3D89"/>
    <w:rPr>
      <w:sz w:val="20"/>
      <w:szCs w:val="20"/>
    </w:rPr>
  </w:style>
  <w:style w:type="paragraph" w:styleId="CommentSubject">
    <w:name w:val="annotation subject"/>
    <w:basedOn w:val="CommentText"/>
    <w:next w:val="CommentText"/>
    <w:link w:val="CommentSubjectChar"/>
    <w:uiPriority w:val="99"/>
    <w:semiHidden/>
    <w:unhideWhenUsed/>
    <w:rsid w:val="00BE3D89"/>
    <w:rPr>
      <w:b/>
      <w:bCs/>
    </w:rPr>
  </w:style>
  <w:style w:type="character" w:customStyle="1" w:styleId="CommentSubjectChar">
    <w:name w:val="Comment Subject Char"/>
    <w:basedOn w:val="CommentTextChar"/>
    <w:link w:val="CommentSubject"/>
    <w:uiPriority w:val="99"/>
    <w:semiHidden/>
    <w:rsid w:val="00BE3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64.38.0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RandyLubert</dc:creator>
  <cp:lastModifiedBy>Rothman, Michele</cp:lastModifiedBy>
  <cp:revision>2</cp:revision>
  <cp:lastPrinted>2021-07-13T16:20:00Z</cp:lastPrinted>
  <dcterms:created xsi:type="dcterms:W3CDTF">2021-07-15T18:09:00Z</dcterms:created>
  <dcterms:modified xsi:type="dcterms:W3CDTF">2021-07-15T18:09:00Z</dcterms:modified>
</cp:coreProperties>
</file>